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CoverKicker"/>
        <w:spacing w:before="1800"/>
      </w:pPr>
      <w:r>
        <w:t xml:space="preserve">Republic of Zambia</w:t>
      </w:r>
    </w:p>
    <w:p>
      <w:pPr>
        <w:pStyle w:val="CoverKicker"/>
        <w:pBdr>
          <w:bottom w:val="single" w:sz="18" w:space="4" w:color="EF7D00"/>
        </w:pBdr>
        <w:spacing w:after="600"/>
      </w:pPr>
      <w:r>
        <w:t xml:space="preserve">GSB e-Services</w:t>
      </w:r>
    </w:p>
    <w:p>
      <w:pPr>
        <w:pStyle w:val="Title"/>
      </w:pPr>
      <w:r>
        <w:t xml:space="preserve">Separate Certificate of Title</w:t>
      </w:r>
    </w:p>
    <w:p>
      <w:pPr>
        <w:pStyle w:val="Subtitle"/>
      </w:pPr>
      <w:r>
        <w:t xml:space="preserve">Service documentation</w:t>
      </w:r>
    </w:p>
    <w:p>
      <w:pPr>
        <w:pStyle w:val="CoverMeta"/>
      </w:pPr>
      <w:r>
        <w:t xml:space="preserve">Owner: Lands and Deeds Department</w:t>
      </w:r>
    </w:p>
    <w:p>
      <w:pPr>
        <w:pStyle w:val="CoverMeta"/>
      </w:pPr>
      <w:r>
        <w:t xml:space="preserve">Service key: MLNR/separate-certificate-of-title</w:t>
      </w:r>
    </w:p>
    <w:p>
      <w:pPr>
        <w:pStyle w:val="CoverMeta"/>
      </w:pPr>
      <w:r>
        <w:t xml:space="preserve">Version: service v1, platform d7561a1d</w:t>
      </w:r>
    </w:p>
    <w:p>
      <w:pPr>
        <w:pStyle w:val="CoverMeta"/>
      </w:pPr>
      <w:r>
        <w:t xml:space="preserve">Date: 2026-10-22</w:t>
      </w:r>
    </w:p>
    <w:p>
      <w:pPr>
        <w:pStyle w:val="Note"/>
        <w:spacing w:before="1200"/>
      </w:pPr>
      <w:r>
        <w:t xml:space="preserve">Generated automatically by the service's end-to-end test run. Every screenshot shows synthetic test data on a local test installation, never real personal data.</w:t>
      </w:r>
    </w:p>
    <w:p>
      <w:pPr>
        <w:pStyle w:val="Heading2"/>
        <w:pageBreakBefore/>
      </w:pPr>
      <w:r>
        <w:t xml:space="preserve">Contents</w:t>
      </w:r>
    </w:p>
    <w:p>
      <w:pPr>
        <w:pStyle w:val="ListBullet"/>
      </w:pPr>
      <w:r>
        <w:t xml:space="preserve">1. Service summary</w:t>
      </w:r>
    </w:p>
    <w:p>
      <w:pPr>
        <w:pStyle w:val="ListBullet"/>
      </w:pPr>
      <w:r>
        <w:t xml:space="preserve">2. Application process, step by step</w:t>
      </w:r>
    </w:p>
    <w:p>
      <w:pPr>
        <w:pStyle w:val="ListBullet"/>
      </w:pPr>
      <w:r>
        <w:t xml:space="preserve">3. Payment</w:t>
      </w:r>
    </w:p>
    <w:p>
      <w:pPr>
        <w:pStyle w:val="ListBullet"/>
      </w:pPr>
      <w:r>
        <w:t xml:space="preserve">4. Output documents</w:t>
      </w:r>
    </w:p>
    <w:p>
      <w:pPr>
        <w:pStyle w:val="ListBullet"/>
      </w:pPr>
      <w:r>
        <w:t xml:space="preserve">5. Notifications</w:t>
      </w:r>
    </w:p>
    <w:p>
      <w:pPr>
        <w:pStyle w:val="ListBullet"/>
      </w:pPr>
      <w:r>
        <w:t xml:space="preserve">6. Legacy mapping</w:t>
      </w:r>
    </w:p>
    <w:p>
      <w:pPr>
        <w:pStyle w:val="ListBullet"/>
      </w:pPr>
      <w:r>
        <w:t xml:space="preserve">7. Version and date</w:t>
      </w:r>
    </w:p>
    <w:p>
      <w:pPr>
        <w:pStyle w:val="Note"/>
      </w:pPr>
      <w:r>
        <w:t xml:space="preserve">This document describes the Separate Certificate of Title service of Lands and Deeds Department as the platform runs it today. It is generated by the service's end-to-end test: every step was performed by the test and every screenshot was taken during that run, with synthetic data. Regenerate it with "npm run docs:services" in the e2e suite; do not edit it by hand.</w:t>
      </w:r>
    </w:p>
    <w:p>
      <w:pPr>
        <w:pStyle w:val="Heading1"/>
        <w:keepNext/>
      </w:pPr>
      <w:r>
        <w:t xml:space="preserve">1. Service summary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Separate Certificate of Title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Owner (MDA)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Lands and Deeds Department (MLNR)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Purpose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This is an application for issuance of separate titles by way of subdivision and marking off by the title holder into different subdivision numbers but under the same ownership details.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Who can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Individual; Organization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to apply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Online on the national e-Services portal, signed in with ZamPass; pay with ZamPay.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Separate Certificate of Title Registration Fee: ZMW 111.20</w:t>
            </w:r>
            <w:r>
              <w:br/>
              <w:t xml:space="preserve">Separate Certificate of Title Fee: ZMW 222.40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Turnaround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Within 30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Validity of the output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Depends on the original Certificate of Title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Required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National Registration Card (NRC) (required)</w:t>
            </w:r>
            <w:r>
              <w:br/>
              <w:t xml:space="preserve">Certificate of Incorporation / ZDA (if company, church, society) (required)</w:t>
            </w:r>
            <w:r>
              <w:br/>
              <w:t xml:space="preserve">Original Certificate of Title (Old type paper Certificate to be surrendered physically to selected Service Station after online Application is submitted) (required)</w:t>
            </w:r>
            <w:r>
              <w:br/>
              <w:t xml:space="preserve">Application Letter (required)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Output documents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</w:t>
            </w:r>
            <w:r>
              <w:br/>
              <w:t xml:space="preserve">Application form</w:t>
            </w:r>
            <w:r>
              <w:br/>
              <w:t xml:space="preserve">Certificate of Title</w:t>
            </w:r>
            <w:r>
              <w:br/>
              <w:t xml:space="preserve">GF-1 Treasury Invoice</w:t>
            </w:r>
            <w:r>
              <w:br/>
              <w:t xml:space="preserve">GF-2 Treasury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Legal basis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Lands and Deeds Registry Act cap 186 (http://www.parliament.gov.zm/sites/default/files/documents/acts/Lands%20and%20Deeds%20Registry%20Act.pdf)</w:t>
            </w:r>
            <w:r>
              <w:br/>
              <w:t xml:space="preserve">SI No. 41 of 2015 - Registration and Lodgment Fees (https://www.enotices.co.zm/download/statutory-instrument-no-041-of-2015-the-fees-and-fines-fee-and-penalty-unit-value-amendment-regulations-pdf/)</w:t>
            </w:r>
          </w:p>
        </w:tc>
      </w:tr>
    </w:tbl>
    <w:p>
      <w:pPr>
        <w:pStyle w:val="Heading1"/>
        <w:keepNext/>
      </w:pPr>
      <w:r>
        <w:t xml:space="preserve">2. Application process, step by step</w:t>
      </w:r>
    </w:p>
    <w:p>
      <w:pPr>
        <w:pStyle w:val="Heading2"/>
        <w:keepNext/>
      </w:pPr>
      <w:r>
        <w:t xml:space="preserve">The process as configured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794"/>
        <w:gridCol w:w="2268"/>
        <w:gridCol w:w="4026"/>
        <w:gridCol w:w="2552"/>
      </w:tblGrid>
      <w:tr>
        <w:trPr>
          <w:tblHeader/>
          <w:cantSplit/>
        </w:trPr>
        <w:tc>
          <w:tcPr>
            <w:tcW w:w="79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Step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Role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Task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Type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Apply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form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Applicant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Payment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payment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Review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review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Executive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Decision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decision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Generate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generate-document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Case Officer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Hand Over Document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collection</w:t>
            </w:r>
          </w:p>
        </w:tc>
      </w:tr>
      <w:tr>
        <w:trPr>
          <w:cantSplit/>
        </w:trPr>
        <w:tc>
          <w:tcPr>
            <w:tcW w:w="794" w:type="dxa"/>
          </w:tcPr>
          <w:p>
            <w:pPr>
              <w:pStyle w:val="TableText"/>
            </w:pPr>
            <w:r>
              <w:t xml:space="preserve">9</w:t>
            </w:r>
          </w:p>
        </w:tc>
        <w:tc>
          <w:tcPr>
            <w:tcW w:w="2268" w:type="dxa"/>
          </w:tcPr>
          <w:p>
            <w:pPr>
              <w:pStyle w:val="TableText"/>
            </w:pPr>
            <w:r>
              <w:t xml:space="preserve">System</w:t>
            </w:r>
          </w:p>
        </w:tc>
        <w:tc>
          <w:tcPr>
            <w:tcW w:w="4026" w:type="dxa"/>
          </w:tcPr>
          <w:p>
            <w:pPr>
              <w:pStyle w:val="TableText"/>
            </w:pPr>
            <w:r>
              <w:t xml:space="preserve">Notify Client</w:t>
            </w:r>
          </w:p>
        </w:tc>
        <w:tc>
          <w:tcPr>
            <w:tcW w:w="2552" w:type="dxa"/>
          </w:tcPr>
          <w:p>
            <w:pPr>
              <w:pStyle w:val="TableText"/>
            </w:pPr>
            <w:r>
              <w:t xml:space="preserve">notify</w:t>
            </w:r>
          </w:p>
        </w:tc>
      </w:tr>
    </w:tbl>
    <w:p>
      <w:pPr>
        <w:pStyle w:val="Heading2"/>
        <w:keepNext/>
      </w:pPr>
      <w:r>
        <w:t xml:space="preserve">Step by step</w:t>
      </w:r>
    </w:p>
    <w:p>
      <w:r>
        <w:t xml:space="preserve">Who takes part in this journey: Citizen, Case Officer, Executive, Anyone (public). Citizen steps are shown on a desktop and on a 375 px phone; back-office steps on a desktop.</w:t>
      </w:r>
    </w:p>
    <w:p>
      <w:pPr>
        <w:pStyle w:val="Heading3"/>
        <w:keepNext/>
      </w:pPr>
      <w:r>
        <w:t xml:space="preserve">Step 1. Find the service and read its page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citizen finds "Separate Certificate of Title" (Lands and Deeds Department) in the national directory and opens its page: what it is for, the fee and what to have ready.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1" name="img001.png" descr="Find the service and read its page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mg001.png" descr="Find the service and read its page - desktop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2" name="img002.png" descr="Find the service and read its page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mg002.png" descr="Find the service and read its page - 375 px phone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1: Find the service and read its page - desktop (left) and a 375 px phone (right).</w:t>
      </w:r>
    </w:p>
    <w:p>
      <w:pPr>
        <w:pStyle w:val="Heading3"/>
        <w:keepNext/>
      </w:pPr>
      <w:r>
        <w:t xml:space="preserve">Step 2. The application sent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application for parcel LUS/2020 is in My Workplace with its reference.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3" name="img003.png" descr="The application sent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" name="img003.png" descr="The application sent - desktop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4" name="img004.png" descr="The application sent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img004.png" descr="The application sent - 375 px phone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2: The application sent - desktop (left) and a 375 px phone (right).</w:t>
      </w:r>
    </w:p>
    <w:p>
      <w:pPr>
        <w:pStyle w:val="Heading3"/>
        <w:keepNext/>
      </w:pPr>
      <w:r>
        <w:t xml:space="preserve">Step 3. Take the application 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takes the new application on (assigned to them). The case moves from "Submitted" to "CO Generate Payment".</w:t>
      </w:r>
    </w:p>
    <w:p>
      <w:pPr>
        <w:pStyle w:val="Heading3"/>
        <w:keepNext/>
      </w:pPr>
      <w:r>
        <w:t xml:space="preserve">Step 4. Work out the fee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"Work out the fee". The case moves from "CO Generate Payment" to "AP Payment".</w:t>
      </w:r>
    </w:p>
    <w:p>
      <w:pPr>
        <w:pStyle w:val="Heading3"/>
        <w:keepNext/>
      </w:pPr>
      <w:r>
        <w:t xml:space="preserve">Step 5. Inspect the case by Case Officer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"Inspect the case by Case Officer". The case moves from "CO Review" to "EX Decision".</w:t>
      </w:r>
    </w:p>
    <w:p>
      <w:pPr>
        <w:pStyle w:val="Heading3"/>
        <w:keepNext/>
      </w:pPr>
      <w:r>
        <w:t xml:space="preserve">Step 6. The fee paid</w:t>
      </w:r>
    </w:p>
    <w:p>
      <w:pPr>
        <w:keepNext/>
      </w:pPr>
      <w:r>
        <w:rPr>
          <w:i/>
          <w:iCs/>
        </w:rPr>
        <w:t xml:space="preserve">Citizen · National e-Services portal</w:t>
      </w:r>
    </w:p>
    <w:p>
      <w:pPr>
        <w:keepNext/>
      </w:pPr>
      <w:r>
        <w:t xml:space="preserve">The officer generated the fee from the imported schedule (registration fee and the fee of the new certificate of title); the citizen paid it with ZamPay (mobile money or card) from My Workplace.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5" name="img005.png" descr="The fee paid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img005.png" descr="The fee paid - desktop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06" name="img006.png" descr="The fee paid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img006.png" descr="The fee paid - 375 px phone"/>
                          <pic:cNvPicPr/>
                        </pic:nvPicPr>
                        <pic:blipFill>
                          <a:blip r:embed="rId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6: The fee paid - desktop (left) and a 375 px phone (right).</w:t>
      </w:r>
    </w:p>
    <w:p>
      <w:pPr>
        <w:pStyle w:val="Heading3"/>
        <w:keepNext/>
      </w:pPr>
      <w:r>
        <w:t xml:space="preserve">Step 7. Propose the registration of the title</w:t>
      </w:r>
    </w:p>
    <w:p>
      <w:pPr>
        <w:keepNext/>
      </w:pPr>
      <w:r>
        <w:rPr>
          <w:i/>
          <w:iCs/>
        </w:rPr>
        <w:t xml:space="preserve">Case Officer · Back office</w:t>
      </w:r>
    </w:p>
    <w:p>
      <w:pPr>
        <w:keepNext/>
      </w:pPr>
      <w:r>
        <w:t xml:space="preserve">A registry officer opens Ministry functions -&gt; Lands and Deeds Registry -&gt; Dealings to register -&gt; "Register a new title": the parcel (LUS/2020), the area of the title (checked against the surveyed parcel: a difference beyond the tolerance is refused), the term, the proprietors and the application it belongs to.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3913616"/>
            <wp:effectExtent l="0" t="0" r="0" b="0"/>
            <wp:docPr id="1007" name="img007.png" descr="Propose the registration of the tit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img007.png" descr="Propose the registration of the title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13616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7: Propose the registration of the title.</w:t>
      </w:r>
    </w:p>
    <w:p>
      <w:pPr>
        <w:pStyle w:val="Heading3"/>
        <w:keepNext/>
      </w:pPr>
      <w:r>
        <w:t xml:space="preserve">Step 8. Review, Inspect, e-Sign Executive</w:t>
      </w:r>
    </w:p>
    <w:p>
      <w:pPr>
        <w:keepNext/>
      </w:pPr>
      <w:r>
        <w:rPr>
          <w:i/>
          <w:iCs/>
        </w:rPr>
        <w:t xml:space="preserve">Executive · Back office (done through its case API in the test run: no screenshot)</w:t>
      </w:r>
    </w:p>
    <w:p>
      <w:r>
        <w:t xml:space="preserve">The Executive decides: approve ("Review, Inspect, e-Sign Executive"). The case moves from "EX Decision" to "CO Hand Over Document".</w:t>
      </w:r>
    </w:p>
    <w:p>
      <w:pPr>
        <w:pStyle w:val="Heading3"/>
        <w:keepNext/>
      </w:pPr>
      <w:r>
        <w:t xml:space="preserve">Step 9. Select Printing and Delivering Option</w:t>
      </w:r>
    </w:p>
    <w:p>
      <w:pPr>
        <w:keepNext/>
      </w:pPr>
      <w:r>
        <w:rPr>
          <w:i/>
          <w:iCs/>
        </w:rPr>
        <w:t xml:space="preserve">Case Officer · Back office (done through its case API in the test run: no screenshot)</w:t>
      </w:r>
    </w:p>
    <w:p>
      <w:r>
        <w:t xml:space="preserve">The Case Officer completes "Select Printing and Delivering Option". The case moves from "CO Hand Over Document" to "Completed".</w:t>
      </w:r>
    </w:p>
    <w:p>
      <w:pPr>
        <w:pStyle w:val="Heading3"/>
        <w:keepNext/>
      </w:pPr>
      <w:r>
        <w:t xml:space="preserve">Step 10. The property folio after registration</w:t>
      </w:r>
    </w:p>
    <w:p>
      <w:pPr>
        <w:keepNext/>
      </w:pPr>
      <w:r>
        <w:rPr>
          <w:i/>
          <w:iCs/>
        </w:rPr>
        <w:t xml:space="preserve">Executive · Back office</w:t>
      </w:r>
    </w:p>
    <w:p>
      <w:pPr>
        <w:keepNext/>
      </w:pPr>
      <w:r>
        <w:t xml:space="preserve">The decision registered the proposed title (the officer who proposed it cannot register it). The folio shows the current certificate of title, the proprietors (identity numbers masked; shown in full only to a registrar, and every read is audited), the register entries (append-only, hash-chained), the encumbrances and the parcel outline from the parcel register.</w:t>
      </w:r>
    </w:p>
    <w:p>
      <w:pPr>
        <w:keepNext/>
        <w:spacing w:after="0"/>
        <w:jc w:val="center"/>
      </w:pPr>
      <w:r>
        <w:drawing>
          <wp:inline distT="0" distB="0" distL="0" distR="0">
            <wp:extent cx="5940000" cy="6761859"/>
            <wp:effectExtent l="0" t="0" r="0" b="0"/>
            <wp:docPr id="1008" name="img008.png" descr="The property folio after regi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g008.png" descr="The property folio after registration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6761859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Step 10: The property folio after registration.</w:t>
      </w:r>
    </w:p>
    <w:p>
      <w:pPr>
        <w:pStyle w:val="Heading3"/>
        <w:keepNext/>
      </w:pPr>
      <w:r>
        <w:t xml:space="preserve">Step 11. Verify the title deed</w:t>
      </w:r>
    </w:p>
    <w:p>
      <w:pPr>
        <w:keepNext/>
      </w:pPr>
      <w:r>
        <w:rPr>
          <w:i/>
          <w:iCs/>
        </w:rPr>
        <w:t xml:space="preserve">Anyone (public) · Public verification page</w:t>
      </w:r>
    </w:p>
    <w:p>
      <w:pPr>
        <w:keepNext/>
      </w:pPr>
      <w:r>
        <w:t xml:space="preserve">The QR code on the title deed opens the public verification page: the certificate of title is current. The proprietors' names are not shown (the register's disclosure setting is off by default); the parcel and its map come from the parcel register.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0" w:lastRow="0" w:firstColumn="0" w:lastColumn="0" w:noHBand="0" w:noVBand="1"/>
      </w:tblPr>
      <w:tblGrid>
        <w:gridCol w:w="6861"/>
        <w:gridCol w:w="2778"/>
      </w:tblGrid>
      <w:tr>
        <w:trPr>
          <w:cantSplit/>
        </w:trPr>
        <w:tc>
          <w:tcPr>
            <w:tcW w:w="6861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4176000" cy="2751391"/>
                  <wp:effectExtent l="0" t="0" r="0" b="0"/>
                  <wp:docPr id="1009" name="img009.png" descr="Verify the title deed - desk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" name="img009.png" descr="Verify the title deed - desktop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6000" cy="2751391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8" w:type="dxa"/>
          </w:tcPr>
          <w:p>
            <w:pPr>
              <w:keepNext/>
              <w:spacing w:after="0"/>
              <w:jc w:val="center"/>
            </w:pPr>
            <w:r>
              <w:drawing>
                <wp:inline distT="0" distB="0" distL="0" distR="0">
                  <wp:extent cx="1656000" cy="3585792"/>
                  <wp:effectExtent l="0" t="0" r="0" b="0"/>
                  <wp:docPr id="1010" name="img010.png" descr="Verify the title deed - 375 px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img010.png" descr="Verify the title deed - 375 px phone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00" cy="3585792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BFBFB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</w:pPr>
      <w:r>
        <w:t xml:space="preserve">Step 11: Verify the title deed - desktop (left) and a 375 px phone (right).</w:t>
      </w:r>
    </w:p>
    <w:p>
      <w:pPr>
        <w:pStyle w:val="Heading1"/>
        <w:keepNext/>
      </w:pPr>
      <w:r>
        <w:t xml:space="preserve">3. Payment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Item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Fee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From the imported schedule: registration fee ZMW 111.20 and the fee of the new certificate of title ZMW 222.40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When it is paid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After the officer generates the fee, before the review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Invoice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6203123679068041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Paid through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ZamPay (the ZamPay test double in this run)</w:t>
            </w:r>
          </w:p>
        </w:tc>
      </w:tr>
    </w:tbl>
    <w:p>
      <w:pPr>
        <w:spacing w:before="160"/>
      </w:pPr>
      <w:r>
        <w:t xml:space="preserve">On screen: step 6 (The fee paid) in section 2.</w:t>
      </w:r>
    </w:p>
    <w:p>
      <w:pPr>
        <w:pStyle w:val="Heading1"/>
        <w:keepNext/>
      </w:pPr>
      <w:r>
        <w:t xml:space="preserve">4. Output documents</w:t>
      </w:r>
    </w:p>
    <w:p>
      <w:pPr>
        <w:pStyle w:val="Heading2"/>
        <w:keepNext/>
      </w:pPr>
      <w:r>
        <w:t xml:space="preserve">Certificate of title (title deed)</w:t>
      </w:r>
    </w:p>
    <w:p>
      <w:r>
        <w:t xml:space="preserve">Issued by the Lands and Deeds Registry when the title is registered: the title number, the property and parcel, the survey references, the area, the term, the registered proprietors and a QR code to the public verification page.</w:t>
      </w:r>
    </w:p>
    <w:p>
      <w:pPr>
        <w:keepNext/>
        <w:spacing w:after="0"/>
        <w:jc w:val="center"/>
      </w:pPr>
      <w:r>
        <w:drawing>
          <wp:inline distT="0" distB="0" distL="0" distR="0">
            <wp:extent cx="4500000" cy="6365163"/>
            <wp:effectExtent l="0" t="0" r="0" b="0"/>
            <wp:docPr id="1011" name="img011.png" descr="Certificate of title (title dee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img011.png" descr="Certificate of title (title deed)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6365163"/>
                    </a:xfrm>
                    <a:prstGeom prst="rect">
                      <a:avLst/>
                    </a:prstGeom>
                    <a:ln w="6350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Certificate of title (title deed) - first of 1 page, as issued in the test run.</w:t>
      </w:r>
    </w:p>
    <w:p>
      <w:pPr>
        <w:pStyle w:val="Heading3"/>
        <w:keepNext/>
      </w:pPr>
      <w:r>
        <w:t xml:space="preserve">Fields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2835"/>
        <w:gridCol w:w="6804"/>
      </w:tblGrid>
      <w:tr>
        <w:trPr>
          <w:tblHeader/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Value in the test run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Title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CT000001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Parcel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LUS/2020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Area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1,000 m²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Proprietor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E2E Title Holder, 100 %</w:t>
            </w:r>
          </w:p>
        </w:tc>
      </w:tr>
      <w:tr>
        <w:trPr>
          <w:cantSplit/>
        </w:trPr>
        <w:tc>
          <w:tcPr>
            <w:tcW w:w="2835" w:type="dxa"/>
          </w:tcPr>
          <w:p>
            <w:pPr>
              <w:pStyle w:val="TableText"/>
            </w:pPr>
            <w:r>
              <w:t xml:space="preserve">Document number</w:t>
            </w:r>
          </w:p>
        </w:tc>
        <w:tc>
          <w:tcPr>
            <w:tcW w:w="6804" w:type="dxa"/>
          </w:tcPr>
          <w:p>
            <w:pPr>
              <w:pStyle w:val="TableText"/>
            </w:pPr>
            <w:r>
              <w:t xml:space="preserve">TD-2026-000001</w:t>
            </w:r>
          </w:p>
        </w:tc>
      </w:tr>
    </w:tbl>
    <w:p>
      <w:pPr>
        <w:pStyle w:val="Heading3"/>
        <w:keepNext/>
      </w:pPr>
      <w:r>
        <w:t xml:space="preserve">Seal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Seal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 sealed: the PDF says so, and the register and its verification page are the authority (input.md F235)</w:t>
            </w:r>
          </w:p>
        </w:tc>
      </w:tr>
    </w:tbl>
    <w:p>
      <w:pPr>
        <w:pStyle w:val="Heading3"/>
        <w:keepNext/>
      </w:pPr>
      <w:r>
        <w:t xml:space="preserve">Verification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Verification code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LR48380A4986D7D28C79F9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Verification page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Valid while the title is current; "Not valid" (superseded, with the new title) after a transfer</w:t>
            </w:r>
          </w:p>
        </w:tc>
      </w:tr>
    </w:tbl>
    <w:p>
      <w:pPr>
        <w:spacing w:before="160"/>
      </w:pPr>
      <w:r>
        <w:t xml:space="preserve">On screen: step 10 (The property folio after registration), step 11 (Verify the title deed) in section 2.</w:t>
      </w:r>
    </w:p>
    <w:p>
      <w:pPr>
        <w:pStyle w:val="Heading1"/>
        <w:keepNext/>
      </w:pPr>
      <w:r>
        <w:t xml:space="preserve">5. Notifications</w:t>
      </w:r>
    </w:p>
    <w:tbl>
      <w:tblPr>
        <w:tblStyle w:val="GSBTable"/>
        <w:tblW w:w="9639" w:type="dxa"/>
        <w:tblLayout w:type="fixed"/>
        <w:tblLook w:val="04A0" w:firstRow="1" w:lastRow="0" w:firstColumn="0" w:lastColumn="0" w:noHBand="0" w:noVBand="1"/>
      </w:tblPr>
      <w:tblGrid>
        <w:gridCol w:w="1928"/>
        <w:gridCol w:w="907"/>
        <w:gridCol w:w="1474"/>
        <w:gridCol w:w="4082"/>
        <w:gridCol w:w="1247"/>
      </w:tblGrid>
      <w:tr>
        <w:trPr>
          <w:tblHeader/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When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Channel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To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Message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Delivery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received - Your application MLNR-SCT/00001/10-22-26 for Separate Certificate of Title has been received by Lands and Deeds Department.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Update on application MLNR-SCT/00001/10-22-26 - MLNR-SCT/00001/10-22-26 (Separate Certificate of Title) is now: With the office - fees being worked out.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MLNR-SCT/00001/10-22-26 - The fee of ZMW 333.60 for Separate Certificate of Title (MLNR-SCT/00001/10-22-26) is now due. Invoice 6203123679068041.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received for MLNR-SCT/00001/10-22-26 - Your payment of ZMW 333.60 for MLNR-SCT/00001/10-22-26 (Separate Certificate of Title) has been received. Receipt: &lt;ZamPay&gt;/pdf?documentType=receipt&amp;invoiceNumber=6203123679068041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Separate Certificate of Title document has been issued - MLNR-SCT-2026-00001 has been issued for Separate Certificate of Title.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case.approved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approved - MLNR-SCT/00001/10-22-26 (Separate Certificate of Title) has been approved.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completed - MLNR-SCT/00001/10-22-26 (Separate Certificate of Title) is complete. Your documents are ready.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in-app (portal bell)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the applicant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Separate Certificate of Title? - How was Separate Certificate of Title? Tell us in about a minute.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shown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for Separate Certificate of Title has been received. Track it: &lt;portal&gt;/my-workplace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Application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received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Status changed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Payment due for application MLNR-SCT/00001/10-22-26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due (invoice raised)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Fee of ZMW 333.60 due for MLNR-SCT/00001/10-22-26. Invoice 6203123679068041. Pay: &lt;ZamPay&gt;/pay-for-service/get-invoice/6203123679068041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Payment received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case.approved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approved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Licence / permit issued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Your Separate Certificate of Title document has been issued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case.approved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Invitation to rate the service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How was Separate Certificate of Title?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email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e2e.c***@example.test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>Application MLNR-SCT/00001/10-22-26 completed</w:t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skipped</w:t>
            </w:r>
          </w:p>
        </w:tc>
      </w:tr>
      <w:tr>
        <w:trPr>
          <w:cantSplit/>
        </w:trPr>
        <w:tc>
          <w:tcPr>
            <w:tcW w:w="1928" w:type="dxa"/>
          </w:tcPr>
          <w:p>
            <w:pPr>
              <w:pStyle w:val="TableText"/>
            </w:pPr>
            <w:r>
              <w:t xml:space="preserve">Decision: approved</w:t>
            </w:r>
          </w:p>
        </w:tc>
        <w:tc>
          <w:tcPr>
            <w:tcW w:w="907" w:type="dxa"/>
          </w:tcPr>
          <w:p>
            <w:pPr>
              <w:pStyle w:val="TableText"/>
            </w:pPr>
            <w:r>
              <w:t xml:space="preserve">sms</w:t>
            </w:r>
          </w:p>
        </w:tc>
        <w:tc>
          <w:tcPr>
            <w:tcW w:w="1474" w:type="dxa"/>
          </w:tcPr>
          <w:p>
            <w:pPr>
              <w:pStyle w:val="TableText"/>
            </w:pPr>
            <w:r>
              <w:t xml:space="preserve">+260 97* *** 567</w:t>
            </w:r>
          </w:p>
        </w:tc>
        <w:tc>
          <w:tcPr>
            <w:tcW w:w="4082" w:type="dxa"/>
          </w:tcPr>
          <w:p>
            <w:pPr>
              <w:pStyle w:val="TableText"/>
            </w:pPr>
            <w:r>
              <w:t xml:space="preserve"/>
            </w:r>
          </w:p>
        </w:tc>
        <w:tc>
          <w:tcPr>
            <w:tcW w:w="1247" w:type="dxa"/>
          </w:tcPr>
          <w:p>
            <w:pPr>
              <w:pStyle w:val="TableText"/>
            </w:pPr>
            <w:r>
              <w:t xml:space="preserve">delivered</w:t>
            </w:r>
          </w:p>
        </w:tc>
      </w:tr>
    </w:tbl>
    <w:p>
      <w:pPr>
        <w:pStyle w:val="Note"/>
      </w:pPr>
      <w:r>
        <w:t xml:space="preserve">Delivery: shown = in the portal's notification bell; delivered = the SMS gateway (a test double in this run) reported the text delivered; skipped = not sent on that channel (e-mail is not configured on the test installation, and some notices go out on one channel only); sent by the national portal = a ministry node handed the notice to the national portal, which texts and e-mails the citizen under its own name and the citizen's preferences. Addresses written &lt;portal&gt;, &lt;ZamPay&gt; stand for the national portal and ZamPay.</w:t>
      </w:r>
    </w:p>
    <w:p>
      <w:pPr>
        <w:pStyle w:val="Heading1"/>
        <w:keepNext/>
      </w:pPr>
      <w:r>
        <w:t xml:space="preserve">6. Legacy mapping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Replaces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Separate Certificate of Title in the legacy ZIGS e-Services directory (ZIGS_Services)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service id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219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provider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Lands and Deeds Department (MLNR) under Ministry of Lands and Natural Resources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process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Standard.Review_2Step_CoExec (process 106)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in the legacy system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Separate Certificate of Title Registration Fee: ZMW 111.2 (New)</w:t>
            </w:r>
            <w:r>
              <w:br/>
              <w:t xml:space="preserve">Separate Certificate of Title Fee: ZMW 222.4 (New)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Fee taken before submission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yes (as in ZIGS)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Time to issue (legacy)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New: 30 working days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output templates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Notice of Action: ZIGS_Forms_Notices / GS-2.NoticeOfAction</w:t>
            </w:r>
            <w:r>
              <w:br/>
              <w:t xml:space="preserve">Application form: ZIGS_Forms_MLNR / MLNR_SeparateCot.Application</w:t>
            </w:r>
            <w:r>
              <w:br/>
              <w:t xml:space="preserve">Certificate of Title: ZIGS_Forms_MLNR / MLNR_CertificateOfTitle.Certificate</w:t>
            </w:r>
            <w:r>
              <w:br/>
              <w:t xml:space="preserve">GF-1 Treasury Invoice: ZIGS_CustomForms / GF-1 Invoice</w:t>
            </w:r>
            <w:r>
              <w:br/>
              <w:t xml:space="preserve">GF-2 Treasury Receipt: ZIGS_CustomForms / GF-2 Receipt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Legacy address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none recorded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How it was brought over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Imported by the platform's legacy catalogue importer (zcm-backend scripts/zigs/importLegacy.js) from the ZIGS snapshot: form, case types, fees, documents, process and output templates, then served by the new platform.</w:t>
            </w:r>
          </w:p>
        </w:tc>
      </w:tr>
    </w:tbl>
    <w:p>
      <w:pPr>
        <w:pStyle w:val="Heading1"/>
        <w:keepNext/>
      </w:pPr>
      <w:r>
        <w:t xml:space="preserve">7. Version and date</w:t>
      </w:r>
    </w:p>
    <w:tbl>
      <w:tblPr>
        <w:tblStyle w:val="GSBTable"/>
        <w:tblW w:w="9639" w:type="dxa"/>
        <w:tblLayout w:type="fixed"/>
        <w:tblLook w:val="04A0" w:firstRow="0" w:lastRow="0" w:firstColumn="0" w:lastColumn="0" w:noHBand="0" w:noVBand="1"/>
      </w:tblPr>
      <w:tblGrid>
        <w:gridCol w:w="2552"/>
        <w:gridCol w:w="7088"/>
      </w:tblGrid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Document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service v1, platform d7561a1d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Generated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2026-10-22T00:42:06Z (by the end-to-end run, not edited by hand)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Service version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not versioned (configured directly)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Platform snapshot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backend d7561a1d</w:t>
            </w:r>
            <w:r>
              <w:br/>
              <w:t xml:space="preserve">portal 9dadc82</w:t>
            </w:r>
            <w:r>
              <w:br/>
              <w:t xml:space="preserve">back office 8afae07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Test suite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e2e 17f0b76; one installation (combined); seed profile mihud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Journeys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25-land-title-registration.spec.js: citizen: finds "Separate Certificate of Title" and applies for the parcel - passed</w:t>
            </w:r>
            <w:r>
              <w:br/>
              <w:t xml:space="preserve">25-land-title-registration.spec.js: officers: the imported process up to the decision; the citizen pays the fee the officer generated - passed</w:t>
            </w:r>
            <w:r>
              <w:br/>
              <w:t xml:space="preserve">25-land-title-registration.spec.js: registry officer proposes the title; refusals; the Registrar decides and the title is registered - passed</w:t>
            </w:r>
            <w:r>
              <w:br/>
              <w:t xml:space="preserve">25-land-title-registration.spec.js: the title deed: PDF with the title number, parcel, proprietor and QR code; it verifies as current - passed</w:t>
            </w:r>
            <w:r>
              <w:br/>
              <w:t xml:space="preserve">25-land-title-registration.spec.js: citizen: applies for a Deed of Transfer of the property and pays; the officer reviews - passed</w:t>
            </w:r>
            <w:r>
              <w:br/>
              <w:t xml:space="preserve">25-land-title-registration.spec.js: registry officer proposes the transfer on the folio; the Registrar decides; a new title supersedes the old one - passed</w:t>
            </w:r>
            <w:r>
              <w:br/>
              <w:t xml:space="preserve">25-land-title-registration.spec.js: the old deed verifies as superseded; the new deed as current -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Result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7 of 7 journey tests passed</w:t>
            </w:r>
          </w:p>
        </w:tc>
      </w:tr>
      <w:tr>
        <w:trPr>
          <w:cantSplit/>
        </w:trPr>
        <w:tc>
          <w:tcPr>
            <w:tcW w:w="2552" w:type="dxa"/>
          </w:tcPr>
          <w:p>
            <w:pPr>
              <w:pStyle w:val="TableText"/>
            </w:pPr>
            <w:r>
              <w:rPr>
                <w:b/>
                <w:bCs/>
              </w:rPr>
              <w:t xml:space="preserve">Data</w:t>
            </w:r>
          </w:p>
        </w:tc>
        <w:tc>
          <w:tcPr>
            <w:tcW w:w="7088" w:type="dxa"/>
          </w:tcPr>
          <w:p>
            <w:pPr>
              <w:pStyle w:val="TableText"/>
            </w:pPr>
            <w:r>
              <w:t xml:space="preserve">Synthetic test data on a local test installation; provider test doubles for ZamPass, ZamPay, SMS and signing.</w:t>
            </w:r>
          </w:p>
        </w:tc>
      </w:tr>
    </w:tbl>
    <w:sectPr>
      <w:headerReference w:type="default" r:id="rId4"/>
      <w:footerReference w:type="default" r:id="rId5"/>
      <w:pgSz w:w="11906" w:h="16838"/>
      <w:pgMar w:top="1134" w:right="1134" w:bottom="1134" w:left="1134" w:header="567" w:footer="567" w:gutter="0"/>
      <w:cols w:space="708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Lands and Deeds Department  ·  version service v1, platform d7561a1d  ·  2026-10-22</w:t>
    </w:r>
  </w:p>
  <w:p>
    <w:pPr>
      <w:pStyle w:val="Footer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6" w:space="4" w:color="198A00"/>
      </w:pBdr>
    </w:pPr>
    <w:r>
      <w:t xml:space="preserve">GSB e-Services  ·  Service documentation  ·  Separate Certificate of Title</w: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567" w:hanging="283"/>
      </w:pPr>
      <w:rPr>
        <w:rFonts w:ascii="Arial" w:hAnsi="Arial"/>
        <w:color w:val="198A0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GB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qFormat/>
    <w:rPr>
      <w:color w:val="1F2933"/>
    </w:rPr>
  </w:style>
  <w:style w:type="paragraph" w:styleId="Title">
    <w:name w:val="Title"/>
    <w:basedOn w:val="Normal"/>
    <w:next w:val="Normal"/>
    <w:qFormat/>
    <w:pPr>
      <w:spacing w:before="240" w:after="120"/>
    </w:pPr>
    <w:rPr>
      <w:b/>
      <w:color w:val="1F2933"/>
      <w:sz w:val="56"/>
      <w:szCs w:val="56"/>
    </w:rPr>
  </w:style>
  <w:style w:type="paragraph" w:styleId="Subtitle">
    <w:name w:val="Subtitle"/>
    <w:basedOn w:val="Normal"/>
    <w:next w:val="Normal"/>
    <w:qFormat/>
    <w:pPr>
      <w:spacing w:after="480"/>
    </w:pPr>
    <w:rPr>
      <w:color w:val="198A00"/>
      <w:sz w:val="32"/>
      <w:szCs w:val="32"/>
    </w:rPr>
  </w:style>
  <w:style w:type="paragraph" w:styleId="CoverKicker">
    <w:name w:val="Cover kicker"/>
    <w:basedOn w:val="Normal"/>
    <w:qFormat/>
    <w:pPr>
      <w:spacing w:after="40"/>
    </w:pPr>
    <w:rPr>
      <w:b/>
      <w:caps/>
      <w:color w:val="198A00"/>
      <w:spacing w:val="20"/>
      <w:sz w:val="22"/>
      <w:szCs w:val="22"/>
    </w:rPr>
  </w:style>
  <w:style w:type="paragraph" w:styleId="CoverMeta">
    <w:name w:val="Cover details"/>
    <w:basedOn w:val="Normal"/>
    <w:qFormat/>
    <w:pPr>
      <w:spacing w:after="60"/>
    </w:pPr>
    <w:rPr>
      <w:color w:val="1F2933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sz="12" w:space="4" w:color="EF7D00"/>
      </w:pBdr>
      <w:spacing w:before="480" w:after="240"/>
      <w:outlineLvl w:val="0"/>
    </w:pPr>
    <w:rPr>
      <w:b/>
      <w:color w:val="198A00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b/>
      <w:color w:val="0F52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/>
      <w:outlineLvl w:val="2"/>
    </w:pPr>
    <w:rPr>
      <w:b/>
      <w:color w:val="1F2933"/>
      <w:sz w:val="22"/>
      <w:szCs w:val="22"/>
    </w:rPr>
  </w:style>
  <w:style w:type="paragraph" w:styleId="Caption">
    <w:name w:val="caption"/>
    <w:basedOn w:val="Normal"/>
    <w:next w:val="Normal"/>
    <w:qFormat/>
    <w:pPr>
      <w:spacing w:before="40" w:after="200"/>
    </w:pPr>
    <w:rPr>
      <w:i/>
      <w:color w:val="5F6B76"/>
      <w:sz w:val="17"/>
      <w:szCs w:val="17"/>
    </w:rPr>
  </w:style>
  <w:style w:type="paragraph" w:styleId="Note">
    <w:name w:val="Note"/>
    <w:basedOn w:val="Normal"/>
    <w:qFormat/>
    <w:pPr>
      <w:pBdr>
        <w:left w:val="single" w:sz="18" w:space="8" w:color="EF7D00"/>
      </w:pBdr>
      <w:shd w:val="clear" w:color="auto" w:fill="EAF4E5"/>
      <w:spacing w:before="120" w:after="160"/>
      <w:ind w:left="170"/>
    </w:pPr>
    <w:rPr>
      <w:color w:val="1F2933"/>
      <w:sz w:val="18"/>
      <w:szCs w:val="18"/>
    </w:rPr>
  </w:style>
  <w:style w:type="paragraph" w:styleId="ListBullet">
    <w:name w:val="List Bullet"/>
    <w:basedOn w:val="Normal"/>
    <w:qFormat/>
    <w:pPr>
      <w:numPr>
        <w:numId w:val="1"/>
      </w:numPr>
      <w:spacing w:after="60"/>
    </w:pPr>
  </w:style>
  <w:style w:type="paragraph" w:styleId="TableText">
    <w:name w:val="Table text"/>
    <w:basedOn w:val="Normal"/>
    <w:qFormat/>
    <w:pPr>
      <w:spacing w:before="20" w:after="20" w:line="240" w:lineRule="auto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paragraph" w:styleId="Footer">
    <w:name w:val="footer"/>
    <w:basedOn w:val="Normal"/>
    <w:qFormat/>
    <w:pPr>
      <w:tabs>
        <w:tab w:val="right" w:pos="9638"/>
      </w:tabs>
      <w:spacing w:after="0"/>
    </w:pPr>
    <w:rPr>
      <w:color w:val="5F6B76"/>
      <w:sz w:val="16"/>
      <w:szCs w:val="16"/>
    </w:rPr>
  </w:style>
  <w:style w:type="table" w:styleId="GSBTable">
    <w:name w:val="GSB table"/>
    <w:basedOn w:val="TableNormal"/>
    <w:qFormat/>
    <w:pPr>
      <w:spacing w:after="0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rPr>
        <w:b/>
        <w:color w:val="FFFFFF"/>
      </w:rPr>
      <w:tcPr>
        <w:shd w:val="clear" w:color="auto" w:fill="198A00"/>
      </w:tcPr>
    </w:tblStyle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Img1" Type="http://schemas.openxmlformats.org/officeDocument/2006/relationships/image" Target="media/img001.png"/><Relationship Id="rIdImg2" Type="http://schemas.openxmlformats.org/officeDocument/2006/relationships/image" Target="media/img002.png"/><Relationship Id="rIdImg3" Type="http://schemas.openxmlformats.org/officeDocument/2006/relationships/image" Target="media/img003.png"/><Relationship Id="rIdImg4" Type="http://schemas.openxmlformats.org/officeDocument/2006/relationships/image" Target="media/img004.png"/><Relationship Id="rIdImg5" Type="http://schemas.openxmlformats.org/officeDocument/2006/relationships/image" Target="media/img005.png"/><Relationship Id="rIdImg6" Type="http://schemas.openxmlformats.org/officeDocument/2006/relationships/image" Target="media/img006.png"/><Relationship Id="rIdImg7" Type="http://schemas.openxmlformats.org/officeDocument/2006/relationships/image" Target="media/img007.png"/><Relationship Id="rIdImg8" Type="http://schemas.openxmlformats.org/officeDocument/2006/relationships/image" Target="media/img008.png"/><Relationship Id="rIdImg9" Type="http://schemas.openxmlformats.org/officeDocument/2006/relationships/image" Target="media/img009.png"/><Relationship Id="rIdImg10" Type="http://schemas.openxmlformats.org/officeDocument/2006/relationships/image" Target="media/img010.png"/><Relationship Id="rIdImg11" Type="http://schemas.openxmlformats.org/officeDocument/2006/relationships/image" Target="media/img01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GSB e-Services service documentation</Application>
  <Company>Government of the Republic of Zambia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Separate Certificate of Title - service documentation</dc:title>
  <dc:subject>Lands and Deeds Department</dc:subject>
  <dc:creator>GSB e-Services end-to-end suite</dc:creator>
  <cp:keywords>MLNR/separate-certificate-of-title</cp:keywords>
  <cp:revision>1</cp:revision>
  <dcterms:created xsi:type="dcterms:W3CDTF">2026-10-22T00:42:06Z</dcterms:created>
  <dcterms:modified xsi:type="dcterms:W3CDTF">2026-10-22T00:42:06Z</dcterms:modified>
</cp:coreProperties>
</file>