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Hunting Licence - Resident</w:t>
      </w:r>
    </w:p>
    <w:p>
      <w:pPr>
        <w:pStyle w:val="Subtitle"/>
      </w:pPr>
      <w:r>
        <w:t xml:space="preserve">Service documentation</w:t>
      </w:r>
    </w:p>
    <w:p>
      <w:pPr>
        <w:pStyle w:val="CoverMeta"/>
      </w:pPr>
      <w:r>
        <w:t xml:space="preserve">Owner: Department of National Parks and Wildlife</w:t>
      </w:r>
    </w:p>
    <w:p>
      <w:pPr>
        <w:pStyle w:val="CoverMeta"/>
      </w:pPr>
      <w:r>
        <w:t xml:space="preserve">Service key: DNPW/hunting-licence-resident</w:t>
      </w:r>
    </w:p>
    <w:p>
      <w:pPr>
        <w:pStyle w:val="CoverMeta"/>
      </w:pPr>
      <w:r>
        <w:t xml:space="preserve">Version: service v1, platform 55109bbd</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Hunting Licence - Resident service of Department of National Parks and Wildlife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Hunting Licence - Resident</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National Parks and Wildlife (MOTA)</w:t>
            </w:r>
          </w:p>
        </w:tc>
      </w:tr>
      <w:tr>
        <w:trPr>
          <w:cantSplit/>
        </w:trPr>
        <w:tc>
          <w:tcPr>
            <w:tcW w:w="2552" w:type="dxa"/>
          </w:tcPr>
          <w:p>
            <w:pPr>
              <w:pStyle w:val="TableText"/>
            </w:pPr>
            <w:r>
              <w:rPr>
                <w:b/>
                <w:bCs/>
              </w:rPr>
              <w:t xml:space="preserve">Purpose</w:t>
            </w:r>
          </w:p>
        </w:tc>
        <w:tc>
          <w:tcPr>
            <w:tcW w:w="7088" w:type="dxa"/>
          </w:tcPr>
          <w:p>
            <w:pPr>
              <w:pStyle w:val="TableText"/>
            </w:pPr>
            <w:r>
              <w:t xml:space="preserve">A hunting licence issued to a Zambian citizen or established resident to hunt the animals it lists in a game management area. Each animal is drawn from the hunting quota of that area, species and class of applicant for the year.</w:t>
            </w:r>
          </w:p>
        </w:tc>
      </w:tr>
      <w:tr>
        <w:trPr>
          <w:cantSplit/>
        </w:trPr>
        <w:tc>
          <w:tcPr>
            <w:tcW w:w="2552" w:type="dxa"/>
          </w:tcPr>
          <w:p>
            <w:pPr>
              <w:pStyle w:val="TableText"/>
            </w:pPr>
            <w:r>
              <w:rPr>
                <w:b/>
                <w:bCs/>
              </w:rPr>
              <w:t xml:space="preserve">Who can apply</w:t>
            </w:r>
          </w:p>
        </w:tc>
        <w:tc>
          <w:tcPr>
            <w:tcW w:w="7088" w:type="dxa"/>
          </w:tcPr>
          <w:p>
            <w:pPr>
              <w:pStyle w:val="TableText"/>
            </w:pPr>
            <w:r>
              <w:t xml:space="preserve">Zambian citizens and established residents (bona fide residents of the GMA apply under their own class and quota); at least 18 years old; outside the closed season.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Application Fee for a Hunting Licence - Resident: ZMW 22.40</w:t>
            </w:r>
            <w:r>
              <w:br/>
              <w:t xml:space="preserve">Basic Fee: ZMW 222.40</w:t>
            </w:r>
            <w:r>
              <w:br/>
              <w:t xml:space="preserve">Basic Fee: ZMW 444.80</w:t>
            </w:r>
          </w:p>
        </w:tc>
      </w:tr>
      <w:tr>
        <w:trPr>
          <w:cantSplit/>
        </w:trPr>
        <w:tc>
          <w:tcPr>
            <w:tcW w:w="2552" w:type="dxa"/>
          </w:tcPr>
          <w:p>
            <w:pPr>
              <w:pStyle w:val="TableText"/>
            </w:pPr>
            <w:r>
              <w:rPr>
                <w:b/>
                <w:bCs/>
              </w:rPr>
              <w:t xml:space="preserve">Turnaround</w:t>
            </w:r>
          </w:p>
        </w:tc>
        <w:tc>
          <w:tcPr>
            <w:tcW w:w="7088" w:type="dxa"/>
          </w:tcPr>
          <w:p>
            <w:pPr>
              <w:pStyle w:val="TableText"/>
            </w:pPr>
            <w:r>
              <w:t xml:space="preserve">Within 28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Up to 31st December.</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Proof of residence in the GMA applied for (optional)</w:t>
            </w:r>
            <w:r>
              <w:br/>
              <w:t xml:space="preserve">Copy of valid Firearm Licence in Applicant’s name (i.e., the cover page, the page showing the firearm’s calibre, the licence validity page)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Hunting Licence - Resident</w:t>
            </w:r>
            <w:r>
              <w:br/>
              <w:t xml:space="preserve">Approval Letter</w:t>
            </w:r>
            <w:r>
              <w:br/>
              <w:t xml:space="preserve">Denial of Service</w:t>
            </w:r>
            <w:r>
              <w:br/>
              <w:t xml:space="preserve">Notice of Action</w:t>
            </w:r>
            <w:r>
              <w:br/>
              <w:t xml:space="preserve">Application form</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The Zambia Wildlife Act, No. 14 of 2015 (http://www.parliament.gov.zm/sites/default/files/documents/acts/The%20%20Zambia%20Wildlife%20Act%2C%202015.pdf)</w:t>
            </w:r>
            <w:r>
              <w:br/>
              <w:t xml:space="preserve">SI No. 60 of 2007 - The Zambia Wildlife (Licences and Fees) Regulations (https://zambialaws.com/subsidiary-legislation/chapter-201-zambia-wildlife-act#Zambia%20Wildlife%20(Licence%20and%20Fees)%20Regulations,%202007!)</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parallel-approval</w:t>
            </w:r>
          </w:p>
        </w:tc>
      </w:tr>
      <w:tr>
        <w:trPr>
          <w:cantSplit/>
        </w:trPr>
        <w:tc>
          <w:tcPr>
            <w:tcW w:w="794" w:type="dxa"/>
          </w:tcPr>
          <w:p>
            <w:pPr>
              <w:pStyle w:val="TableText"/>
            </w:pPr>
            <w:r>
              <w:t xml:space="preserve">8</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9</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11</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12</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Supervisor, Citizen, Case Officer, Executive, Anyone (public). Citizen steps are shown on a desktop and on a 375 px phone; back-office steps on a desktop.</w:t>
      </w:r>
    </w:p>
    <w:p>
      <w:pPr>
        <w:pStyle w:val="Heading3"/>
        <w:keepNext/>
      </w:pPr>
      <w:r>
        <w:t xml:space="preserve">Step 1. The hunting quota of the year</w:t>
      </w:r>
    </w:p>
    <w:p>
      <w:pPr>
        <w:keepNext/>
      </w:pPr>
      <w:r>
        <w:rPr>
          <w:i/>
          <w:iCs/>
        </w:rPr>
        <w:t xml:space="preserve">Supervisor · Back office</w:t>
      </w:r>
    </w:p>
    <w:p>
      <w:pPr>
        <w:keepNext/>
      </w:pPr>
      <w:r>
        <w:t xml:space="preserve">Ministry functions, Wildlife, Hunting quotas: the quota of each hunting area, species and class of applicant for the year. The supervisor set the figures as drafts and asked for approval with a reason; the executive approved them (the person who asks can never approve). Approved quotas change only by an adjustment, approved the same way.</w:t>
      </w:r>
    </w:p>
    <w:p>
      <w:pPr>
        <w:keepNext/>
        <w:spacing w:after="0"/>
        <w:jc w:val="center"/>
      </w:pPr>
      <w:r>
        <w:drawing>
          <wp:inline distT="0" distB="0" distL="0" distR="0">
            <wp:extent cx="5940000" cy="3913616"/>
            <wp:effectExtent l="0" t="0" r="0" b="0"/>
            <wp:docPr id="1001" name="img001.png" descr="The hunting quota of the y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The hunting quota of the year"/>
                    <pic:cNvPicPr/>
                  </pic:nvPicPr>
                  <pic:blipFill>
                    <a:blip r:embed="rIdImg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 The hunting quota of the year.</w:t>
      </w:r>
    </w:p>
    <w:p>
      <w:pPr>
        <w:pStyle w:val="Heading3"/>
        <w:keepNext/>
      </w:pPr>
      <w:r>
        <w:t xml:space="preserve">Step 2. Find the service and read its page</w:t>
      </w:r>
    </w:p>
    <w:p>
      <w:pPr>
        <w:keepNext/>
      </w:pPr>
      <w:r>
        <w:rPr>
          <w:i/>
          <w:iCs/>
        </w:rPr>
        <w:t xml:space="preserve">Citizen · National e-Services portal</w:t>
      </w:r>
    </w:p>
    <w:p>
      <w:pPr>
        <w:keepNext/>
      </w:pPr>
      <w:r>
        <w:t xml:space="preserve">The citizen finds "Hunting Licence - Resident" in the national directory and reads its page: who provides it, what it costs (the fee is the total of the animals applied for), what to have ready.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2" name="img002.png" descr="Find the service and read its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and read its page - desktop"/>
                          <pic:cNvPicPr/>
                        </pic:nvPicPr>
                        <pic:blipFill>
                          <a:blip r:embed="rIdImg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3" name="img003.png" descr="Find the service and read its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Find the service and read its page - 375 px phone"/>
                          <pic:cNvPicPr/>
                        </pic:nvPicPr>
                        <pic:blipFill>
                          <a:blip r:embed="rIdImg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Find the service and read its page - desktop (left) and a 375 px phone (right).</w:t>
      </w:r>
    </w:p>
    <w:p>
      <w:pPr>
        <w:pStyle w:val="Heading3"/>
        <w:keepNext/>
      </w:pPr>
      <w:r>
        <w:t xml:space="preserve">Step 3. The application form: class, GMA and the animals</w:t>
      </w:r>
    </w:p>
    <w:p>
      <w:pPr>
        <w:keepNext/>
      </w:pPr>
      <w:r>
        <w:rPr>
          <w:i/>
          <w:iCs/>
        </w:rPr>
        <w:t xml:space="preserve">Citizen · National e-Services portal</w:t>
      </w:r>
    </w:p>
    <w:p>
      <w:pPr>
        <w:keepNext/>
      </w:pPr>
      <w:r>
        <w:t xml:space="preserve">The form carried over from the legacy service (citizen or established resident, the GMA, the reason for the hunt, firearm details) with the list of animals applied for: hunting area, species and number.</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4" name="img004.png" descr="The application form: class, GMA and the anima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The application form: class, GMA and the animals - desktop"/>
                          <pic:cNvPicPr/>
                        </pic:nvPicPr>
                        <pic:blipFill>
                          <a:blip r:embed="rIdImg4"/>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5" name="img005.png" descr="The application form: class, GMA and the anima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The application form: class, GMA and the animals - 375 px phone"/>
                          <pic:cNvPicPr/>
                        </pic:nvPicPr>
                        <pic:blipFill>
                          <a:blip r:embed="rIdImg5"/>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The application form: class, GMA and the animals - desktop (left) and a 375 px phone (right).</w:t>
      </w:r>
    </w:p>
    <w:p>
      <w:pPr>
        <w:pStyle w:val="Heading3"/>
        <w:keepNext/>
      </w:pPr>
      <w:r>
        <w:t xml:space="preserve">Step 4. Send the application with the documents</w:t>
      </w:r>
    </w:p>
    <w:p>
      <w:pPr>
        <w:keepNext/>
      </w:pPr>
      <w:r>
        <w:rPr>
          <w:i/>
          <w:iCs/>
        </w:rPr>
        <w:t xml:space="preserve">Citizen · National e-Services portal (sent through the API the portal uses in the test run: no screenshot)</w:t>
      </w:r>
    </w:p>
    <w:p>
      <w:r>
        <w:t xml:space="preserve">The application is sent as a citizen for one buffalo in the E2E Lupande GMA, with every required document (sent through the API the portal uses: the animal list is filled the same way). The platform checks the class, the applicant's age, the closed season and that an approved quota with an animal left exists, and records the animal line. The fee, K1,500.00 (the buffalo fee for citizens and established residents), is worked out on the server and invoiced at once (case MOTA-HLR/00001/10-21-26 in this run). Nothing is taken from the quota yet: it is drawn when the licence is issued, as before.</w:t>
      </w:r>
    </w:p>
    <w:p>
      <w:pPr>
        <w:pStyle w:val="Heading3"/>
        <w:keepNext/>
      </w:pPr>
      <w:r>
        <w:t xml:space="preserve">Step 5. Pay the licence fee</w:t>
      </w:r>
    </w:p>
    <w:p>
      <w:pPr>
        <w:keepNext/>
      </w:pPr>
      <w:r>
        <w:rPr>
          <w:i/>
          <w:iCs/>
        </w:rPr>
        <w:t xml:space="preserve">Citizen · National e-Services portal</w:t>
      </w:r>
    </w:p>
    <w:p>
      <w:pPr>
        <w:keepNext/>
      </w:pPr>
      <w:r>
        <w:t xml:space="preserve">The citizen pays the fee with ZamPay from My Workplace. (The invoice preview is hidden: the ZamPay test double serves an empty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6" name="img006.png" descr="Pay the licence fe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Pay the licence fee - desktop"/>
                          <pic:cNvPicPr/>
                        </pic:nvPicPr>
                        <pic:blipFill>
                          <a:blip r:embed="rIdImg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7" name="img007.png" descr="Pay the licence fe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Pay the licence fee - 375 px phone"/>
                          <pic:cNvPicPr/>
                        </pic:nvPicPr>
                        <pic:blipFill>
                          <a:blip r:embed="rIdImg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Pay the licence fee - desktop (left) and a 375 px phone (right).</w:t>
      </w:r>
    </w:p>
    <w:p>
      <w:pPr>
        <w:pStyle w:val="Heading3"/>
        <w:keepNext/>
      </w:pPr>
      <w:r>
        <w:t xml:space="preserve">Step 6. Receive, Inspect, Report Findings, Draft Decision</w:t>
      </w:r>
    </w:p>
    <w:p>
      <w:pPr>
        <w:keepNext/>
      </w:pPr>
      <w:r>
        <w:rPr>
          <w:i/>
          <w:iCs/>
        </w:rPr>
        <w:t xml:space="preserve">Case Officer · Back office (done through its case API in the test run: no screenshot)</w:t>
      </w:r>
    </w:p>
    <w:p>
      <w:r>
        <w:t xml:space="preserve">The officer completes "Receive, Inspect, Report Findings, Draft Decision". The case moves from "CO Review" to "SV Review".</w:t>
      </w:r>
    </w:p>
    <w:p>
      <w:pPr>
        <w:pStyle w:val="Heading3"/>
        <w:keepNext/>
      </w:pPr>
      <w:r>
        <w:t xml:space="preserve">Step 7. Review, Add Comments, Send for Signature</w:t>
      </w:r>
    </w:p>
    <w:p>
      <w:pPr>
        <w:keepNext/>
      </w:pPr>
      <w:r>
        <w:rPr>
          <w:i/>
          <w:iCs/>
        </w:rPr>
        <w:t xml:space="preserve">Supervisor · Back office (done through its case API in the test run: no screenshot)</w:t>
      </w:r>
    </w:p>
    <w:p>
      <w:r>
        <w:t xml:space="preserve">The officer completes "Review, Add Comments, Send for Signature". The case moves from "SV Review" to "SV Approve".</w:t>
      </w:r>
    </w:p>
    <w:p>
      <w:pPr>
        <w:pStyle w:val="Heading3"/>
        <w:keepNext/>
      </w:pPr>
      <w:r>
        <w:t xml:space="preserve">Step 8. Organize Voting, Report Decision</w:t>
      </w:r>
    </w:p>
    <w:p>
      <w:pPr>
        <w:keepNext/>
      </w:pPr>
      <w:r>
        <w:rPr>
          <w:i/>
          <w:iCs/>
        </w:rPr>
        <w:t xml:space="preserve">Supervisor · Back office (done through its case API in the test run: no screenshot)</w:t>
      </w:r>
    </w:p>
    <w:p>
      <w:r>
        <w:t xml:space="preserve">The officer the committee approves (two members, quorum 2 of 3). The case moves from "SV Approve" to "CO Verify Payment".</w:t>
      </w:r>
    </w:p>
    <w:p>
      <w:pPr>
        <w:pStyle w:val="Heading3"/>
        <w:keepNext/>
      </w:pPr>
      <w:r>
        <w:t xml:space="preserve">Step 9. Verify additional payment</w:t>
      </w:r>
    </w:p>
    <w:p>
      <w:pPr>
        <w:keepNext/>
      </w:pPr>
      <w:r>
        <w:rPr>
          <w:i/>
          <w:iCs/>
        </w:rPr>
        <w:t xml:space="preserve">Case Officer · Back office (done through its case API in the test run: no screenshot)</w:t>
      </w:r>
    </w:p>
    <w:p>
      <w:r>
        <w:t xml:space="preserve">The officer completes "Verify additional payment". The case moves from "CO Verify Payment" to "EX Decision".</w:t>
      </w:r>
    </w:p>
    <w:p>
      <w:pPr>
        <w:pStyle w:val="Heading3"/>
        <w:keepNext/>
      </w:pPr>
      <w:r>
        <w:t xml:space="preserve">Step 10. Review, Inspect, e-Sign Executive</w:t>
      </w:r>
    </w:p>
    <w:p>
      <w:pPr>
        <w:keepNext/>
      </w:pPr>
      <w:r>
        <w:rPr>
          <w:i/>
          <w:iCs/>
        </w:rPr>
        <w:t xml:space="preserve">Executive · Back office (done through its case API in the test run: no screenshot)</w:t>
      </w:r>
    </w:p>
    <w:p>
      <w:r>
        <w:t xml:space="preserve">The officer decides: approve ("Review, Inspect, e-Sign Executive"). The case moves from "EX Decision" to "Completed".</w:t>
      </w:r>
    </w:p>
    <w:p>
      <w:pPr>
        <w:pStyle w:val="Heading3"/>
        <w:keepNext/>
      </w:pPr>
      <w:r>
        <w:t xml:space="preserve">Step 11. The quota after the licence was issued</w:t>
      </w:r>
    </w:p>
    <w:p>
      <w:pPr>
        <w:keepNext/>
      </w:pPr>
      <w:r>
        <w:rPr>
          <w:i/>
          <w:iCs/>
        </w:rPr>
        <w:t xml:space="preserve">Supervisor · Back office</w:t>
      </w:r>
    </w:p>
    <w:p>
      <w:pPr>
        <w:keepNext/>
      </w:pPr>
      <w:r>
        <w:t xml:space="preserve">The buffalo quota shows one animal issued and the balance one lower, with the primary harvest counted (legacy prc_MOTA_DeductQuota). Had the last animal gone to another licence first, the decision would have been refused and the application left undecided.</w:t>
      </w:r>
    </w:p>
    <w:p>
      <w:pPr>
        <w:keepNext/>
        <w:spacing w:after="0"/>
        <w:jc w:val="center"/>
      </w:pPr>
      <w:r>
        <w:drawing>
          <wp:inline distT="0" distB="0" distL="0" distR="0">
            <wp:extent cx="5940000" cy="3913616"/>
            <wp:effectExtent l="0" t="0" r="0" b="0"/>
            <wp:docPr id="1008" name="img008.png" descr="The quota after the licence was issu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The quota after the licence was issued"/>
                    <pic:cNvPicPr/>
                  </pic:nvPicPr>
                  <pic:blipFill>
                    <a:blip r:embed="rIdImg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The quota after the licence was issued.</w:t>
      </w:r>
    </w:p>
    <w:p>
      <w:pPr>
        <w:pStyle w:val="Heading3"/>
        <w:keepNext/>
      </w:pPr>
      <w:r>
        <w:t xml:space="preserve">Step 12. The harvest return</w:t>
      </w:r>
    </w:p>
    <w:p>
      <w:pPr>
        <w:keepNext/>
      </w:pPr>
      <w:r>
        <w:rPr>
          <w:i/>
          <w:iCs/>
        </w:rPr>
        <w:t xml:space="preserve">Case Officer · Back office</w:t>
      </w:r>
    </w:p>
    <w:p>
      <w:pPr>
        <w:keepNext/>
      </w:pPr>
      <w:r>
        <w:t xml:space="preserve">Ministry functions, Wildlife, Licences and returns: the hunter reported one buffalo harvested; the officer records the return once, with the trophy taken (identification mark, type, weight). The trophy is on the trophy register, held by the licence holder, ready for an export permit application. An animal younger than the species' minimum trophy age would be listed under Data checks.</w:t>
      </w:r>
    </w:p>
    <w:p>
      <w:pPr>
        <w:keepNext/>
        <w:spacing w:after="0"/>
        <w:jc w:val="center"/>
      </w:pPr>
      <w:r>
        <w:drawing>
          <wp:inline distT="0" distB="0" distL="0" distR="0">
            <wp:extent cx="5940000" cy="3913616"/>
            <wp:effectExtent l="0" t="0" r="0" b="0"/>
            <wp:docPr id="1009" name="img009.png" descr="The harvest retu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The harvest return"/>
                    <pic:cNvPicPr/>
                  </pic:nvPicPr>
                  <pic:blipFill>
                    <a:blip r:embed="rIdImg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The harvest return.</w:t>
      </w:r>
    </w:p>
    <w:p>
      <w:pPr>
        <w:pStyle w:val="Heading3"/>
        <w:keepNext/>
      </w:pPr>
      <w:r>
        <w:t xml:space="preserve">Step 13. The licence in My permits, with its animals</w:t>
      </w:r>
    </w:p>
    <w:p>
      <w:pPr>
        <w:keepNext/>
      </w:pPr>
      <w:r>
        <w:rPr>
          <w:i/>
          <w:iCs/>
        </w:rPr>
        <w:t xml:space="preserve">Citizen · National e-Services portal</w:t>
      </w:r>
    </w:p>
    <w:p>
      <w:pPr>
        <w:keepNext/>
      </w:pPr>
      <w:r>
        <w:t xml:space="preserve">The licence is on the citizen's generic "My permits and licences" with the animals it allows, as plain particulars from the issuing office (no wildlife page on the portal).</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0" name="img010.png" descr="The licence in My permits, with its anima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The licence in My permits, with its animals - desktop"/>
                          <pic:cNvPicPr/>
                        </pic:nvPicPr>
                        <pic:blipFill>
                          <a:blip r:embed="rIdImg1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1" name="img011.png" descr="The licence in My permits, with its anima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The licence in My permits, with its animals - 375 px phone"/>
                          <pic:cNvPicPr/>
                        </pic:nvPicPr>
                        <pic:blipFill>
                          <a:blip r:embed="rIdImg1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The licence in My permits, with its animals - desktop (left) and a 375 px phone (right).</w:t>
      </w:r>
    </w:p>
    <w:p>
      <w:pPr>
        <w:pStyle w:val="Heading3"/>
        <w:keepNext/>
      </w:pPr>
      <w:r>
        <w:t xml:space="preserve">Step 14. Verify the licence</w:t>
      </w:r>
    </w:p>
    <w:p>
      <w:pPr>
        <w:keepNext/>
      </w:pPr>
      <w:r>
        <w:rPr>
          <w:i/>
          <w:iCs/>
        </w:rPr>
        <w:t xml:space="preserve">Anyone (public) · Public verification page</w:t>
      </w:r>
    </w:p>
    <w:p>
      <w:pPr>
        <w:keepNext/>
      </w:pPr>
      <w:r>
        <w:t xml:space="preserve">The QR code on the licence opens the national verification page: genuine and current, to whom it was issued, and the electronic seal.</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2" name="img012.png" descr="Verify the licen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Verify the licence - desktop"/>
                          <pic:cNvPicPr/>
                        </pic:nvPicPr>
                        <pic:blipFill>
                          <a:blip r:embed="rIdImg1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3" name="img013.png" descr="Verify the licen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Verify the licence - 375 px phone"/>
                          <pic:cNvPicPr/>
                        </pic:nvPicPr>
                        <pic:blipFill>
                          <a:blip r:embed="rIdImg1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Verify the licence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w:t>
            </w:r>
          </w:p>
        </w:tc>
        <w:tc>
          <w:tcPr>
            <w:tcW w:w="6804" w:type="dxa"/>
          </w:tcPr>
          <w:p>
            <w:pPr>
              <w:pStyle w:val="TableText"/>
            </w:pPr>
            <w:r>
              <w:t xml:space="preserve">K1,500.00: the species fee for the class of applicant (Buffalo, citizen / established resident); a second animal of a species costs 1.5 times the fee (legacy rule)</w:t>
            </w:r>
          </w:p>
        </w:tc>
      </w:tr>
      <w:tr>
        <w:trPr>
          <w:cantSplit/>
        </w:trPr>
        <w:tc>
          <w:tcPr>
            <w:tcW w:w="2835" w:type="dxa"/>
          </w:tcPr>
          <w:p>
            <w:pPr>
              <w:pStyle w:val="TableText"/>
            </w:pPr>
            <w:r>
              <w:t xml:space="preserve">When it is paid</w:t>
            </w:r>
          </w:p>
        </w:tc>
        <w:tc>
          <w:tcPr>
            <w:tcW w:w="6804" w:type="dxa"/>
          </w:tcPr>
          <w:p>
            <w:pPr>
              <w:pStyle w:val="TableText"/>
            </w:pPr>
            <w:r>
              <w:t xml:space="preserve">With the application</w:t>
            </w:r>
          </w:p>
        </w:tc>
      </w:tr>
      <w:tr>
        <w:trPr>
          <w:cantSplit/>
        </w:trPr>
        <w:tc>
          <w:tcPr>
            <w:tcW w:w="2835" w:type="dxa"/>
          </w:tcPr>
          <w:p>
            <w:pPr>
              <w:pStyle w:val="TableText"/>
            </w:pPr>
            <w:r>
              <w:t xml:space="preserve">Invoice number</w:t>
            </w:r>
          </w:p>
        </w:tc>
        <w:tc>
          <w:tcPr>
            <w:tcW w:w="6804" w:type="dxa"/>
          </w:tcPr>
          <w:p>
            <w:pPr>
              <w:pStyle w:val="TableText"/>
            </w:pPr>
            <w:r>
              <w:t xml:space="preserve">6320430763239828</w:t>
            </w:r>
          </w:p>
        </w:tc>
      </w:tr>
      <w:tr>
        <w:trPr>
          <w:cantSplit/>
        </w:trPr>
        <w:tc>
          <w:tcPr>
            <w:tcW w:w="2835" w:type="dxa"/>
          </w:tcPr>
          <w:p>
            <w:pPr>
              <w:pStyle w:val="TableText"/>
            </w:pPr>
            <w:r>
              <w:t xml:space="preserve">Paid through</w:t>
            </w:r>
          </w:p>
        </w:tc>
        <w:tc>
          <w:tcPr>
            <w:tcW w:w="6804" w:type="dxa"/>
          </w:tcPr>
          <w:p>
            <w:pPr>
              <w:pStyle w:val="TableText"/>
            </w:pPr>
            <w:r>
              <w:t xml:space="preserve">ZamPay (the ZamPay test double in this run)</w:t>
            </w:r>
          </w:p>
        </w:tc>
      </w:tr>
    </w:tbl>
    <w:p>
      <w:pPr>
        <w:spacing w:before="160"/>
      </w:pPr>
      <w:r>
        <w:t xml:space="preserve">On screen: step 5 (Pay the licence fee) in section 2.</w:t>
      </w:r>
    </w:p>
    <w:p>
      <w:pPr>
        <w:pStyle w:val="Heading1"/>
        <w:keepNext/>
      </w:pPr>
      <w:r>
        <w:t xml:space="preserve">4. Output documents</w:t>
      </w:r>
    </w:p>
    <w:p>
      <w:pPr>
        <w:pStyle w:val="Heading2"/>
        <w:keepNext/>
      </w:pPr>
      <w:r>
        <w:t xml:space="preserve">Hunting Licence - Resident (sealed PDF)</w:t>
      </w:r>
    </w:p>
    <w:p>
      <w:r>
        <w:t xml:space="preserve">The legacy DNPW resident hunting licence certificate, filled in by the platform: the station of issue (the office of the officer who issued it), the licensee, the firearms, the animals drawn from the quota (animal, hunting area, period, fee) and the fees paid; QR to the verification page; electronic seal.</w:t>
      </w:r>
    </w:p>
    <w:p>
      <w:pPr>
        <w:keepNext/>
        <w:spacing w:after="0"/>
        <w:jc w:val="center"/>
      </w:pPr>
      <w:r>
        <w:drawing>
          <wp:inline distT="0" distB="0" distL="0" distR="0">
            <wp:extent cx="4500000" cy="6365163"/>
            <wp:effectExtent l="0" t="0" r="0" b="0"/>
            <wp:docPr id="1014" name="img014.png" descr="Hunting Licence - Residen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Hunting Licence - Resident (sealed PDF)"/>
                    <pic:cNvPicPr/>
                  </pic:nvPicPr>
                  <pic:blipFill>
                    <a:blip r:embed="rIdImg14"/>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Hunting Licence - Resident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Hunting Licence - Resident</w:t>
            </w:r>
          </w:p>
        </w:tc>
      </w:tr>
      <w:tr>
        <w:trPr>
          <w:cantSplit/>
        </w:trPr>
        <w:tc>
          <w:tcPr>
            <w:tcW w:w="2835" w:type="dxa"/>
          </w:tcPr>
          <w:p>
            <w:pPr>
              <w:pStyle w:val="TableText"/>
            </w:pPr>
            <w:r>
              <w:t xml:space="preserve">Permit / licence number</w:t>
            </w:r>
          </w:p>
        </w:tc>
        <w:tc>
          <w:tcPr>
            <w:tcW w:w="6804" w:type="dxa"/>
          </w:tcPr>
          <w:p>
            <w:pPr>
              <w:pStyle w:val="TableText"/>
            </w:pPr>
            <w:r>
              <w:t xml:space="preserve">MOTA-HLR-2026-00001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2026-12-31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QE8N-48XZ-YV</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2026-10-21T21:56:09.963Z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2026-10-21T21:56:09.929Z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6af4ebe3274acdfd...</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(The licence in My permits, with its animals), step 14 (Verify the licence)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MOTA-HLR/00001/10-21-26 - The fee of ZMW 1500.00 for Hunting Licence - Resident (MOTA-HLR/00001/10-21-26) is now due. Invoice 6320430763239828.</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MOTA-HLR/00001/10-21-26 received - Your application MOTA-HLR/00001/10-21-26 for Hunting Licence - Resident has been received by Department of National Parks and Wildlife.</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MOTA-HLR/00001/10-21-26 - Your payment of ZMW 1500.00 for MOTA-HLR/00001/10-21-26 (Hunting Licence - Resident) has been received. Receipt: &lt;ZamPay&gt;/pdf?documentType=receipt&amp;invoiceNumber=6320430763239828</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Hunting Licence - Resident? - How was Hunting Licence - Resident? Tell us in about a minute.</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Hunting Licence - Resident document has been issued - MOTA-HLR-2026-00001 has been issued for Hunting Licence - Resident and is valid until 31/12/2026.</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MOTA-HLR/00001/10-21-26 completed - MOTA-HLR/00001/10-21-26 (Hunting Licence - Resident)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1500.00 due for MOTA-HLR/00001/10-21-26. Invoice 6320430763239828. Pay: &lt;ZamPay&gt;/pay-for-service/get-invoice/6320430763239828</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MOTA-HLR/00001/10-21-26 for Hunting Licence - Resident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MOTA-HLR/00001/10-21-26 received</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MOTA-HLR/00001/10-21-26</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Hunting Licence - Resident?</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Hunting Licence - Resident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MOTA-HLR/00001/10-21-26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Legacy system</w:t>
            </w:r>
          </w:p>
        </w:tc>
        <w:tc>
          <w:tcPr>
            <w:tcW w:w="7088" w:type="dxa"/>
          </w:tcPr>
          <w:p>
            <w:pPr>
              <w:pStyle w:val="TableText"/>
            </w:pPr>
            <w:r>
              <w:t xml:space="preserve">ZIGS / ZambiaDNPW (MOTA database)</w:t>
            </w:r>
          </w:p>
        </w:tc>
      </w:tr>
      <w:tr>
        <w:trPr>
          <w:cantSplit/>
        </w:trPr>
        <w:tc>
          <w:tcPr>
            <w:tcW w:w="2552" w:type="dxa"/>
          </w:tcPr>
          <w:p>
            <w:pPr>
              <w:pStyle w:val="TableText"/>
            </w:pPr>
            <w:r>
              <w:rPr>
                <w:b/>
                <w:bCs/>
              </w:rPr>
              <w:t xml:space="preserve">Legacy service</w:t>
            </w:r>
          </w:p>
        </w:tc>
        <w:tc>
          <w:tcPr>
            <w:tcW w:w="7088" w:type="dxa"/>
          </w:tcPr>
          <w:p>
            <w:pPr>
              <w:pStyle w:val="TableText"/>
            </w:pPr>
            <w:r>
              <w:t xml:space="preserve">105 Hunting Licence - Resident</w:t>
            </w:r>
          </w:p>
        </w:tc>
      </w:tr>
      <w:tr>
        <w:trPr>
          <w:cantSplit/>
        </w:trPr>
        <w:tc>
          <w:tcPr>
            <w:tcW w:w="2552" w:type="dxa"/>
          </w:tcPr>
          <w:p>
            <w:pPr>
              <w:pStyle w:val="TableText"/>
            </w:pPr>
            <w:r>
              <w:rPr>
                <w:b/>
                <w:bCs/>
              </w:rPr>
              <w:t xml:space="preserve">Quota</w:t>
            </w:r>
          </w:p>
        </w:tc>
        <w:tc>
          <w:tcPr>
            <w:tcW w:w="7088" w:type="dxa"/>
          </w:tcPr>
          <w:p>
            <w:pPr>
              <w:pStyle w:val="TableText"/>
            </w:pPr>
            <w:r>
              <w:t xml:space="preserve">ZIGS_MOTA_AnimalQuota (now allocation pools of the wildlife module)</w:t>
            </w:r>
          </w:p>
        </w:tc>
      </w:tr>
      <w:tr>
        <w:trPr>
          <w:cantSplit/>
        </w:trPr>
        <w:tc>
          <w:tcPr>
            <w:tcW w:w="2552" w:type="dxa"/>
          </w:tcPr>
          <w:p>
            <w:pPr>
              <w:pStyle w:val="TableText"/>
            </w:pPr>
            <w:r>
              <w:rPr>
                <w:b/>
                <w:bCs/>
              </w:rPr>
              <w:t xml:space="preserve">Deduction</w:t>
            </w:r>
          </w:p>
        </w:tc>
        <w:tc>
          <w:tcPr>
            <w:tcW w:w="7088" w:type="dxa"/>
          </w:tcPr>
          <w:p>
            <w:pPr>
              <w:pStyle w:val="TableText"/>
            </w:pPr>
            <w:r>
              <w:t xml:space="preserve">prc_MOTA_DeductQuota at issuance (kept: input F91)</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55109bbd</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2026-10-21T21:56:38Z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55109bbd</w:t>
            </w:r>
            <w:r>
              <w:br/>
              <w:t xml:space="preserve">portal 9dadc82</w:t>
            </w:r>
            <w:r>
              <w:br/>
              <w:t xml:space="preserve">back office 9dd768e</w:t>
            </w:r>
          </w:p>
        </w:tc>
      </w:tr>
      <w:tr>
        <w:trPr>
          <w:cantSplit/>
        </w:trPr>
        <w:tc>
          <w:tcPr>
            <w:tcW w:w="2552" w:type="dxa"/>
          </w:tcPr>
          <w:p>
            <w:pPr>
              <w:pStyle w:val="TableText"/>
            </w:pPr>
            <w:r>
              <w:rPr>
                <w:b/>
                <w:bCs/>
              </w:rPr>
              <w:t xml:space="preserve">Test suite</w:t>
            </w:r>
          </w:p>
        </w:tc>
        <w:tc>
          <w:tcPr>
            <w:tcW w:w="7088" w:type="dxa"/>
          </w:tcPr>
          <w:p>
            <w:pPr>
              <w:pStyle w:val="TableText"/>
            </w:pPr>
            <w:r>
              <w:t xml:space="preserve">e2e b5e6f8e;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19-wildlife-hunting-licence.spec.js: quota: set by the supervisor, approved by the executive; the year's table - passed</w:t>
            </w:r>
            <w:r>
              <w:br/>
              <w:t xml:space="preserve">19-wildlife-hunting-licence.spec.js: citizen: finds the service and starts the application - passed</w:t>
            </w:r>
            <w:r>
              <w:br/>
              <w:t xml:space="preserve">19-wildlife-hunting-licence.spec.js: citizen: sends the application; the fee is worked out on the server and invoiced at once - passed</w:t>
            </w:r>
            <w:r>
              <w:br/>
              <w:t xml:space="preserve">19-wildlife-hunting-licence.spec.js: citizen: pays K1,500.00 in the portal - passed</w:t>
            </w:r>
            <w:r>
              <w:br/>
              <w:t xml:space="preserve">19-wildlife-hunting-licence.spec.js: officers: reviews, the committee, payment check, decision; the quota is drawn at issuance - passed</w:t>
            </w:r>
            <w:r>
              <w:br/>
              <w:t xml:space="preserve">19-wildlife-hunting-licence.spec.js: case officer: records the harvest return with the trophy taken - passed</w:t>
            </w:r>
            <w:r>
              <w:br/>
              <w:t xml:space="preserve">19-wildlife-hunting-licence.spec.js: citizen: My permits shows the licence with its animals; sealed licence; verification - passed</w:t>
            </w:r>
          </w:p>
        </w:tc>
      </w:tr>
      <w:tr>
        <w:trPr>
          <w:cantSplit/>
        </w:trPr>
        <w:tc>
          <w:tcPr>
            <w:tcW w:w="2552" w:type="dxa"/>
          </w:tcPr>
          <w:p>
            <w:pPr>
              <w:pStyle w:val="TableText"/>
            </w:pPr>
            <w:r>
              <w:rPr>
                <w:b/>
                <w:bCs/>
              </w:rPr>
              <w:t xml:space="preserve">Result</w:t>
            </w:r>
          </w:p>
        </w:tc>
        <w:tc>
          <w:tcPr>
            <w:tcW w:w="7088" w:type="dxa"/>
          </w:tcPr>
          <w:p>
            <w:pPr>
              <w:pStyle w:val="TableText"/>
            </w:pPr>
            <w:r>
              <w:t xml:space="preserve">7 of 7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National Parks and Wildlife  ·  version service v1, platform 55109bbd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Hunting Licence - Resident</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Hunting Licence - Resident - service documentation</dc:title>
  <dc:subject>Department of National Parks and Wildlife</dc:subject>
  <dc:creator>GSB e-Services end-to-end suite</dc:creator>
  <cp:keywords>DNPW/hunting-licence-resident</cp:keywords>
  <cp:revision>1</cp:revision>
  <dcterms:created xsi:type="dcterms:W3CDTF">2026-10-21T21:56:38Z</dcterms:created>
  <dcterms:modified xsi:type="dcterms:W3CDTF">2026-10-21T21:56:38Z</dcterms:modified>
</cp:coreProperties>
</file>