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numbering.xml" ContentType="application/vnd.openxmlformats-officedocument.wordprocessingml.numbering+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CoverKicker"/>
        <w:spacing w:before="1800"/>
      </w:pPr>
      <w:r>
        <w:t xml:space="preserve">Republic of Zambia</w:t>
      </w:r>
    </w:p>
    <w:p>
      <w:pPr>
        <w:pStyle w:val="CoverKicker"/>
        <w:pBdr>
          <w:bottom w:val="single" w:sz="18" w:space="4" w:color="EF7D00"/>
        </w:pBdr>
        <w:spacing w:after="600"/>
      </w:pPr>
      <w:r>
        <w:t xml:space="preserve">GSB e-Services</w:t>
      </w:r>
    </w:p>
    <w:p>
      <w:pPr>
        <w:pStyle w:val="Title"/>
      </w:pPr>
      <w:r>
        <w:t xml:space="preserve">Export Permit for Livestock</w:t>
      </w:r>
    </w:p>
    <w:p>
      <w:pPr>
        <w:pStyle w:val="Subtitle"/>
      </w:pPr>
      <w:r>
        <w:t xml:space="preserve">Service documentation</w:t>
      </w:r>
    </w:p>
    <w:p>
      <w:pPr>
        <w:pStyle w:val="CoverMeta"/>
      </w:pPr>
      <w:r>
        <w:t xml:space="preserve">Owner: Department of Fisheries and Livestock Marketing</w:t>
      </w:r>
    </w:p>
    <w:p>
      <w:pPr>
        <w:pStyle w:val="CoverMeta"/>
      </w:pPr>
      <w:r>
        <w:t xml:space="preserve">Service key: MFL/export-permit-for-livestock</w:t>
      </w:r>
    </w:p>
    <w:p>
      <w:pPr>
        <w:pStyle w:val="CoverMeta"/>
      </w:pPr>
      <w:r>
        <w:t xml:space="preserve">Version: service v1, platform a0a302b8</w:t>
      </w:r>
    </w:p>
    <w:p>
      <w:pPr>
        <w:pStyle w:val="CoverMeta"/>
      </w:pPr>
      <w:r>
        <w:t xml:space="preserve">Date: 2026-10-21</w:t>
      </w:r>
    </w:p>
    <w:p>
      <w:pPr>
        <w:pStyle w:val="Note"/>
        <w:spacing w:before="1200"/>
      </w:pPr>
      <w:r>
        <w:t xml:space="preserve">Generated automatically by the service's end-to-end test run. Every screenshot shows synthetic test data on a local test installation, never real personal data.</w:t>
      </w:r>
    </w:p>
    <w:p>
      <w:pPr>
        <w:pStyle w:val="Heading2"/>
        <w:pageBreakBefore/>
      </w:pPr>
      <w:r>
        <w:t xml:space="preserve">Contents</w:t>
      </w:r>
    </w:p>
    <w:p>
      <w:pPr>
        <w:pStyle w:val="ListBullet"/>
      </w:pPr>
      <w:r>
        <w:t xml:space="preserve">1. Service summary</w:t>
      </w:r>
    </w:p>
    <w:p>
      <w:pPr>
        <w:pStyle w:val="ListBullet"/>
      </w:pPr>
      <w:r>
        <w:t xml:space="preserve">2. Application process, step by step</w:t>
      </w:r>
    </w:p>
    <w:p>
      <w:pPr>
        <w:pStyle w:val="ListBullet"/>
      </w:pPr>
      <w:r>
        <w:t xml:space="preserve">3. Payment</w:t>
      </w:r>
    </w:p>
    <w:p>
      <w:pPr>
        <w:pStyle w:val="ListBullet"/>
      </w:pPr>
      <w:r>
        <w:t xml:space="preserve">4. Output documents</w:t>
      </w:r>
    </w:p>
    <w:p>
      <w:pPr>
        <w:pStyle w:val="ListBullet"/>
      </w:pPr>
      <w:r>
        <w:t xml:space="preserve">5. Notifications</w:t>
      </w:r>
    </w:p>
    <w:p>
      <w:pPr>
        <w:pStyle w:val="ListBullet"/>
      </w:pPr>
      <w:r>
        <w:t xml:space="preserve">6. Legacy mapping</w:t>
      </w:r>
    </w:p>
    <w:p>
      <w:pPr>
        <w:pStyle w:val="ListBullet"/>
      </w:pPr>
      <w:r>
        <w:t xml:space="preserve">7. Version and date</w:t>
      </w:r>
    </w:p>
    <w:p>
      <w:pPr>
        <w:pStyle w:val="Note"/>
      </w:pPr>
      <w:r>
        <w:t xml:space="preserve">This document describes the Export Permit for Livestock service of Department of Fisheries and Livestock Marketing as the platform runs it today. It is generated by the service's end-to-end test: every step was performed by the test and every screenshot was taken during that run, with synthetic data. Regenerate it with "npm run docs:services" in the e2e suite; do not edit it by hand.</w:t>
      </w:r>
    </w:p>
    <w:p>
      <w:pPr>
        <w:pStyle w:val="Heading1"/>
        <w:keepNext/>
      </w:pPr>
      <w:r>
        <w:t xml:space="preserve">1. Service summary</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Service</w:t>
            </w:r>
          </w:p>
        </w:tc>
        <w:tc>
          <w:tcPr>
            <w:tcW w:w="7088" w:type="dxa"/>
          </w:tcPr>
          <w:p>
            <w:pPr>
              <w:pStyle w:val="TableText"/>
            </w:pPr>
            <w:r>
              <w:t xml:space="preserve">Export Permit for Livestock</w:t>
            </w:r>
          </w:p>
        </w:tc>
      </w:tr>
      <w:tr>
        <w:trPr>
          <w:cantSplit/>
        </w:trPr>
        <w:tc>
          <w:tcPr>
            <w:tcW w:w="2552" w:type="dxa"/>
          </w:tcPr>
          <w:p>
            <w:pPr>
              <w:pStyle w:val="TableText"/>
            </w:pPr>
            <w:r>
              <w:rPr>
                <w:b/>
                <w:bCs/>
              </w:rPr>
              <w:t xml:space="preserve">Owner (MDA)</w:t>
            </w:r>
          </w:p>
        </w:tc>
        <w:tc>
          <w:tcPr>
            <w:tcW w:w="7088" w:type="dxa"/>
          </w:tcPr>
          <w:p>
            <w:pPr>
              <w:pStyle w:val="TableText"/>
            </w:pPr>
            <w:r>
              <w:t xml:space="preserve">Department of Fisheries and Livestock Marketing (MFL)</w:t>
            </w:r>
          </w:p>
        </w:tc>
      </w:tr>
      <w:tr>
        <w:trPr>
          <w:cantSplit/>
        </w:trPr>
        <w:tc>
          <w:tcPr>
            <w:tcW w:w="2552" w:type="dxa"/>
          </w:tcPr>
          <w:p>
            <w:pPr>
              <w:pStyle w:val="TableText"/>
            </w:pPr>
            <w:r>
              <w:rPr>
                <w:b/>
                <w:bCs/>
              </w:rPr>
              <w:t xml:space="preserve">Purpose</w:t>
            </w:r>
          </w:p>
        </w:tc>
        <w:tc>
          <w:tcPr>
            <w:tcW w:w="7088" w:type="dxa"/>
          </w:tcPr>
          <w:p>
            <w:pPr>
              <w:pStyle w:val="TableText"/>
            </w:pPr>
            <w:r>
              <w:t xml:space="preserve">Service offered to individuals or organizations willing to export livestock or livestock products from Zambia.</w:t>
            </w:r>
          </w:p>
        </w:tc>
      </w:tr>
      <w:tr>
        <w:trPr>
          <w:cantSplit/>
        </w:trPr>
        <w:tc>
          <w:tcPr>
            <w:tcW w:w="2552" w:type="dxa"/>
          </w:tcPr>
          <w:p>
            <w:pPr>
              <w:pStyle w:val="TableText"/>
            </w:pPr>
            <w:r>
              <w:rPr>
                <w:b/>
                <w:bCs/>
              </w:rPr>
              <w:t xml:space="preserve">Who can apply</w:t>
            </w:r>
          </w:p>
        </w:tc>
        <w:tc>
          <w:tcPr>
            <w:tcW w:w="7088" w:type="dxa"/>
          </w:tcPr>
          <w:p>
            <w:pPr>
              <w:pStyle w:val="TableText"/>
            </w:pPr>
            <w:r>
              <w:t xml:space="preserve">Individual; Organization</w:t>
            </w:r>
          </w:p>
        </w:tc>
      </w:tr>
      <w:tr>
        <w:trPr>
          <w:cantSplit/>
        </w:trPr>
        <w:tc>
          <w:tcPr>
            <w:tcW w:w="2552" w:type="dxa"/>
          </w:tcPr>
          <w:p>
            <w:pPr>
              <w:pStyle w:val="TableText"/>
            </w:pPr>
            <w:r>
              <w:rPr>
                <w:b/>
                <w:bCs/>
              </w:rPr>
              <w:t xml:space="preserve">How to apply</w:t>
            </w:r>
          </w:p>
        </w:tc>
        <w:tc>
          <w:tcPr>
            <w:tcW w:w="7088" w:type="dxa"/>
          </w:tcPr>
          <w:p>
            <w:pPr>
              <w:pStyle w:val="TableText"/>
            </w:pPr>
            <w:r>
              <w:t xml:space="preserve">Online on the national e-Services portal, signed in with ZamPass; pay with ZamPay.</w:t>
            </w:r>
          </w:p>
        </w:tc>
      </w:tr>
      <w:tr>
        <w:trPr>
          <w:cantSplit/>
        </w:trPr>
        <w:tc>
          <w:tcPr>
            <w:tcW w:w="2552" w:type="dxa"/>
          </w:tcPr>
          <w:p>
            <w:pPr>
              <w:pStyle w:val="TableText"/>
            </w:pPr>
            <w:r>
              <w:rPr>
                <w:b/>
                <w:bCs/>
              </w:rPr>
              <w:t xml:space="preserve">Fees</w:t>
            </w:r>
          </w:p>
        </w:tc>
        <w:tc>
          <w:tcPr>
            <w:tcW w:w="7088" w:type="dxa"/>
          </w:tcPr>
          <w:p>
            <w:pPr>
              <w:pStyle w:val="TableText"/>
            </w:pPr>
            <w:r>
              <w:t xml:space="preserve">Non-Commercial – domestic animals or less: ZMW 66.67</w:t>
            </w:r>
            <w:r>
              <w:br/>
              <w:t xml:space="preserve">Non-Commercial – Consignment of animal products each 20 kgs: ZMW 66.67</w:t>
            </w:r>
            <w:r>
              <w:br/>
              <w:t xml:space="preserve">Commercial – Large ruminants (max 50 animals): ZMW 133.34</w:t>
            </w:r>
            <w:r>
              <w:br/>
              <w:t xml:space="preserve">Commercial – Small ruminants (max 400 animals): ZMW 133.34</w:t>
            </w:r>
            <w:r>
              <w:br/>
              <w:t xml:space="preserve">Commercial – Small animals (max 50 animals): ZMW 133.34</w:t>
            </w:r>
            <w:r>
              <w:br/>
              <w:t xml:space="preserve">Commercial – Poultry (max 100,000 birds): ZMW 133.34</w:t>
            </w:r>
            <w:r>
              <w:br/>
              <w:t xml:space="preserve">Commercial – Game/wild animal (max 50 animals): ZMW 133.34</w:t>
            </w:r>
            <w:r>
              <w:br/>
              <w:t xml:space="preserve">Commercial – Tortoise/ornamental fish (max 100 animals): ZMW 133.34</w:t>
            </w:r>
            <w:r>
              <w:br/>
              <w:t xml:space="preserve">Commercial – Livestock products and stock feed (max 34MT): ZMW 133.34</w:t>
            </w:r>
            <w:r>
              <w:br/>
              <w:t xml:space="preserve">Commercial – Semen and embryos per consignment: ZMW 133.34</w:t>
            </w:r>
            <w:r>
              <w:br/>
              <w:t xml:space="preserve">Commercial – Control of Goods ACT Fee: Per 30 Metric Tonnes: ZMW 140.00</w:t>
            </w:r>
          </w:p>
        </w:tc>
      </w:tr>
      <w:tr>
        <w:trPr>
          <w:cantSplit/>
        </w:trPr>
        <w:tc>
          <w:tcPr>
            <w:tcW w:w="2552" w:type="dxa"/>
          </w:tcPr>
          <w:p>
            <w:pPr>
              <w:pStyle w:val="TableText"/>
            </w:pPr>
            <w:r>
              <w:rPr>
                <w:b/>
                <w:bCs/>
              </w:rPr>
              <w:t xml:space="preserve">Turnaround</w:t>
            </w:r>
          </w:p>
        </w:tc>
        <w:tc>
          <w:tcPr>
            <w:tcW w:w="7088" w:type="dxa"/>
          </w:tcPr>
          <w:p>
            <w:pPr>
              <w:pStyle w:val="TableText"/>
            </w:pPr>
            <w:r>
              <w:t xml:space="preserve">Up to 5 days</w:t>
            </w:r>
          </w:p>
        </w:tc>
      </w:tr>
      <w:tr>
        <w:trPr>
          <w:cantSplit/>
        </w:trPr>
        <w:tc>
          <w:tcPr>
            <w:tcW w:w="2552" w:type="dxa"/>
          </w:tcPr>
          <w:p>
            <w:pPr>
              <w:pStyle w:val="TableText"/>
            </w:pPr>
            <w:r>
              <w:rPr>
                <w:b/>
                <w:bCs/>
              </w:rPr>
              <w:t xml:space="preserve">Validity of the output</w:t>
            </w:r>
          </w:p>
        </w:tc>
        <w:tc>
          <w:tcPr>
            <w:tcW w:w="7088" w:type="dxa"/>
          </w:tcPr>
          <w:p>
            <w:pPr>
              <w:pStyle w:val="TableText"/>
            </w:pPr>
            <w:r>
              <w:t xml:space="preserve">30 days</w:t>
            </w:r>
          </w:p>
        </w:tc>
      </w:tr>
      <w:tr>
        <w:trPr>
          <w:cantSplit/>
        </w:trPr>
        <w:tc>
          <w:tcPr>
            <w:tcW w:w="2552" w:type="dxa"/>
          </w:tcPr>
          <w:p>
            <w:pPr>
              <w:pStyle w:val="TableText"/>
            </w:pPr>
            <w:r>
              <w:rPr>
                <w:b/>
                <w:bCs/>
              </w:rPr>
              <w:t xml:space="preserve">Required documents</w:t>
            </w:r>
          </w:p>
        </w:tc>
        <w:tc>
          <w:tcPr>
            <w:tcW w:w="7088" w:type="dxa"/>
          </w:tcPr>
          <w:p>
            <w:pPr>
              <w:pStyle w:val="TableText"/>
            </w:pPr>
            <w:r>
              <w:t xml:space="preserve">National Identity Card (NRC) (required)</w:t>
            </w:r>
            <w:r>
              <w:br/>
              <w:t xml:space="preserve">Company Registration Certificate (optional)</w:t>
            </w:r>
            <w:r>
              <w:br/>
              <w:t xml:space="preserve">Laboratory Test Results (optional)</w:t>
            </w:r>
            <w:r>
              <w:br/>
              <w:t xml:space="preserve">Import Permit from the Destination Country (required)</w:t>
            </w:r>
            <w:r>
              <w:br/>
              <w:t xml:space="preserve">Sanitary Compliance Certificate (optional)</w:t>
            </w:r>
            <w:r>
              <w:br/>
              <w:t xml:space="preserve">Livestock Product Inspection (optional)</w:t>
            </w:r>
            <w:r>
              <w:br/>
              <w:t xml:space="preserve">Proof of Vaccinations (optional)</w:t>
            </w:r>
            <w:r>
              <w:br/>
              <w:t xml:space="preserve">Veterinary Health Certificate. (required)</w:t>
            </w:r>
            <w:r>
              <w:br/>
              <w:t xml:space="preserve">CITES Certificate (optional)</w:t>
            </w:r>
            <w:r>
              <w:br/>
              <w:t xml:space="preserve">Wildlife and National Parks permit (optional)</w:t>
            </w:r>
            <w:r>
              <w:br/>
              <w:t xml:space="preserve">A Cover Letter explaining the purpose for export. (optional)</w:t>
            </w:r>
            <w:r>
              <w:br/>
              <w:t xml:space="preserve">Passport (required)</w:t>
            </w:r>
          </w:p>
        </w:tc>
      </w:tr>
      <w:tr>
        <w:trPr>
          <w:cantSplit/>
        </w:trPr>
        <w:tc>
          <w:tcPr>
            <w:tcW w:w="2552" w:type="dxa"/>
          </w:tcPr>
          <w:p>
            <w:pPr>
              <w:pStyle w:val="TableText"/>
            </w:pPr>
            <w:r>
              <w:rPr>
                <w:b/>
                <w:bCs/>
              </w:rPr>
              <w:t xml:space="preserve">Output documents</w:t>
            </w:r>
          </w:p>
        </w:tc>
        <w:tc>
          <w:tcPr>
            <w:tcW w:w="7088" w:type="dxa"/>
          </w:tcPr>
          <w:p>
            <w:pPr>
              <w:pStyle w:val="TableText"/>
            </w:pPr>
            <w:r>
              <w:t xml:space="preserve">Application form</w:t>
            </w:r>
            <w:r>
              <w:br/>
              <w:t xml:space="preserve">GS-2 Notice of Government Action</w:t>
            </w:r>
            <w:r>
              <w:br/>
              <w:t xml:space="preserve">CoGA Export Permit</w:t>
            </w:r>
          </w:p>
        </w:tc>
      </w:tr>
      <w:tr>
        <w:trPr>
          <w:cantSplit/>
        </w:trPr>
        <w:tc>
          <w:tcPr>
            <w:tcW w:w="2552" w:type="dxa"/>
          </w:tcPr>
          <w:p>
            <w:pPr>
              <w:pStyle w:val="TableText"/>
            </w:pPr>
            <w:r>
              <w:rPr>
                <w:b/>
                <w:bCs/>
              </w:rPr>
              <w:t xml:space="preserve">Legal basis</w:t>
            </w:r>
          </w:p>
        </w:tc>
        <w:tc>
          <w:tcPr>
            <w:tcW w:w="7088" w:type="dxa"/>
          </w:tcPr>
          <w:p>
            <w:pPr>
              <w:pStyle w:val="TableText"/>
            </w:pPr>
            <w:r>
              <w:t xml:space="preserve">Animal Health Act No.27 of 2010 (https://www.parliament.gov.zm/sites/default/files/documents/acts/Animal%20Health%20act.pdf)</w:t>
            </w:r>
            <w:r>
              <w:br/>
              <w:t xml:space="preserve">Public Health Cap 295</w:t>
            </w:r>
            <w:r>
              <w:br/>
              <w:t xml:space="preserve">Zambia Wildlife Act 2015 (https://www.parliament.gov.zm/sites/default/files/documents/acts/The%20%20Zambia%20Wildlife%20Act%2C%202015.pdf)</w:t>
            </w:r>
            <w:r>
              <w:br/>
              <w:t xml:space="preserve">Control of Dogs Act Cap 247 (https://www.parliament.gov.zm/sites/default/files/documents/acts/Control%20of%20Dogs%20Act.pdf)</w:t>
            </w:r>
            <w:r>
              <w:br/>
              <w:t xml:space="preserve">SI No.16 of 2020 - Cattle Cleansing (https://www.parliament.gov.zm/sites/default/files/documents/acts/Cattle%20Cleansing%20Act.pdf)</w:t>
            </w:r>
            <w:r>
              <w:br/>
              <w:t xml:space="preserve">SI No.24 of 2014 – Mandatory Vaccinations (https://www.pmrczambia.com/wp-content/uploads/2015/07/The-Animal-Health-Control-and-Prevention-of-Animal-Disease-Order-2014-Statutory-Instrument-No.-24-of-2014.pdf)</w:t>
            </w:r>
            <w:r>
              <w:br/>
              <w:t xml:space="preserve">Statutory Instrument (SI) No 22. (https://faolex.fao.org/docs/pdf/zam191173.pdf)</w:t>
            </w:r>
            <w:r>
              <w:br/>
              <w:t xml:space="preserve">Statutory Instrument (SI) No 93. (https://www.enotices.co.zm/download/statutory-instrument-no-93-of-2020-the-animal-health-import-and-export-of-animal-product-pdf/)</w:t>
            </w:r>
            <w:r>
              <w:br/>
              <w:t xml:space="preserve">Control of Goods Act (http://www.parliament.gov.zm/sites/default/files/documents/acts/Control%20of%20Goods%20Act.pdf)</w:t>
            </w:r>
          </w:p>
        </w:tc>
      </w:tr>
    </w:tbl>
    <w:p>
      <w:pPr>
        <w:pStyle w:val="Heading1"/>
        <w:keepNext/>
      </w:pPr>
      <w:r>
        <w:t xml:space="preserve">2. Application process, step by step</w:t>
      </w:r>
    </w:p>
    <w:p>
      <w:pPr>
        <w:pStyle w:val="Heading2"/>
        <w:keepNext/>
      </w:pPr>
      <w:r>
        <w:t xml:space="preserve">The process as configured</w:t>
      </w:r>
    </w:p>
    <w:tbl>
      <w:tblPr>
        <w:tblStyle w:val="GSBTable"/>
        <w:tblW w:w="9639" w:type="dxa"/>
        <w:tblLayout w:type="fixed"/>
        <w:tblLook w:val="04A0" w:firstRow="1" w:lastRow="0" w:firstColumn="0" w:lastColumn="0" w:noHBand="0" w:noVBand="1"/>
      </w:tblPr>
      <w:tblGrid>
        <w:gridCol w:w="794"/>
        <w:gridCol w:w="2268"/>
        <w:gridCol w:w="4026"/>
        <w:gridCol w:w="2552"/>
      </w:tblGrid>
      <w:tr>
        <w:trPr>
          <w:tblHeader/>
          <w:cantSplit/>
        </w:trPr>
        <w:tc>
          <w:tcPr>
            <w:tcW w:w="794" w:type="dxa"/>
          </w:tcPr>
          <w:p>
            <w:pPr>
              <w:pStyle w:val="TableText"/>
            </w:pPr>
            <w:r>
              <w:rPr>
                <w:b/>
                <w:bCs/>
              </w:rPr>
              <w:t xml:space="preserve">Step</w:t>
            </w:r>
          </w:p>
        </w:tc>
        <w:tc>
          <w:tcPr>
            <w:tcW w:w="2268" w:type="dxa"/>
          </w:tcPr>
          <w:p>
            <w:pPr>
              <w:pStyle w:val="TableText"/>
            </w:pPr>
            <w:r>
              <w:rPr>
                <w:b/>
                <w:bCs/>
              </w:rPr>
              <w:t xml:space="preserve">Role</w:t>
            </w:r>
          </w:p>
        </w:tc>
        <w:tc>
          <w:tcPr>
            <w:tcW w:w="4026" w:type="dxa"/>
          </w:tcPr>
          <w:p>
            <w:pPr>
              <w:pStyle w:val="TableText"/>
            </w:pPr>
            <w:r>
              <w:rPr>
                <w:b/>
                <w:bCs/>
              </w:rPr>
              <w:t xml:space="preserve">Task</w:t>
            </w:r>
          </w:p>
        </w:tc>
        <w:tc>
          <w:tcPr>
            <w:tcW w:w="2552" w:type="dxa"/>
          </w:tcPr>
          <w:p>
            <w:pPr>
              <w:pStyle w:val="TableText"/>
            </w:pPr>
            <w:r>
              <w:rPr>
                <w:b/>
                <w:bCs/>
              </w:rPr>
              <w:t xml:space="preserve">Type</w:t>
            </w:r>
          </w:p>
        </w:tc>
      </w:tr>
      <w:tr>
        <w:trPr>
          <w:cantSplit/>
        </w:trPr>
        <w:tc>
          <w:tcPr>
            <w:tcW w:w="794" w:type="dxa"/>
          </w:tcPr>
          <w:p>
            <w:pPr>
              <w:pStyle w:val="TableText"/>
            </w:pPr>
            <w:r>
              <w:t xml:space="preserve">1</w:t>
            </w:r>
          </w:p>
        </w:tc>
        <w:tc>
          <w:tcPr>
            <w:tcW w:w="2268" w:type="dxa"/>
          </w:tcPr>
          <w:p>
            <w:pPr>
              <w:pStyle w:val="TableText"/>
            </w:pPr>
            <w:r>
              <w:t xml:space="preserve">Applicant</w:t>
            </w:r>
          </w:p>
        </w:tc>
        <w:tc>
          <w:tcPr>
            <w:tcW w:w="4026" w:type="dxa"/>
          </w:tcPr>
          <w:p>
            <w:pPr>
              <w:pStyle w:val="TableText"/>
            </w:pPr>
            <w:r>
              <w:t xml:space="preserve">Apply</w:t>
            </w:r>
          </w:p>
        </w:tc>
        <w:tc>
          <w:tcPr>
            <w:tcW w:w="2552" w:type="dxa"/>
          </w:tcPr>
          <w:p>
            <w:pPr>
              <w:pStyle w:val="TableText"/>
            </w:pPr>
            <w:r>
              <w:t xml:space="preserve">form</w:t>
            </w:r>
          </w:p>
        </w:tc>
      </w:tr>
      <w:tr>
        <w:trPr>
          <w:cantSplit/>
        </w:trPr>
        <w:tc>
          <w:tcPr>
            <w:tcW w:w="794" w:type="dxa"/>
          </w:tcPr>
          <w:p>
            <w:pPr>
              <w:pStyle w:val="TableText"/>
            </w:pPr>
            <w:r>
              <w:t xml:space="preserve">2</w:t>
            </w:r>
          </w:p>
        </w:tc>
        <w:tc>
          <w:tcPr>
            <w:tcW w:w="2268" w:type="dxa"/>
          </w:tcPr>
          <w:p>
            <w:pPr>
              <w:pStyle w:val="TableText"/>
            </w:pPr>
            <w:r>
              <w:t xml:space="preserve">Case Officer</w:t>
            </w:r>
          </w:p>
        </w:tc>
        <w:tc>
          <w:tcPr>
            <w:tcW w:w="4026" w:type="dxa"/>
          </w:tcPr>
          <w:p>
            <w:pPr>
              <w:pStyle w:val="TableText"/>
            </w:pPr>
            <w:r>
              <w:t xml:space="preserve">Generate Payment</w:t>
            </w:r>
          </w:p>
        </w:tc>
        <w:tc>
          <w:tcPr>
            <w:tcW w:w="2552" w:type="dxa"/>
          </w:tcPr>
          <w:p>
            <w:pPr>
              <w:pStyle w:val="TableText"/>
            </w:pPr>
            <w:r>
              <w:t xml:space="preserve">generate-payment</w:t>
            </w:r>
          </w:p>
        </w:tc>
      </w:tr>
      <w:tr>
        <w:trPr>
          <w:cantSplit/>
        </w:trPr>
        <w:tc>
          <w:tcPr>
            <w:tcW w:w="794" w:type="dxa"/>
          </w:tcPr>
          <w:p>
            <w:pPr>
              <w:pStyle w:val="TableText"/>
            </w:pPr>
            <w:r>
              <w:t xml:space="preserve">3</w:t>
            </w:r>
          </w:p>
        </w:tc>
        <w:tc>
          <w:tcPr>
            <w:tcW w:w="2268" w:type="dxa"/>
          </w:tcPr>
          <w:p>
            <w:pPr>
              <w:pStyle w:val="TableText"/>
            </w:pPr>
            <w:r>
              <w:t xml:space="preserve">Applicant</w:t>
            </w:r>
          </w:p>
        </w:tc>
        <w:tc>
          <w:tcPr>
            <w:tcW w:w="4026" w:type="dxa"/>
          </w:tcPr>
          <w:p>
            <w:pPr>
              <w:pStyle w:val="TableText"/>
            </w:pPr>
            <w:r>
              <w:t xml:space="preserve">Payment</w:t>
            </w:r>
          </w:p>
        </w:tc>
        <w:tc>
          <w:tcPr>
            <w:tcW w:w="2552" w:type="dxa"/>
          </w:tcPr>
          <w:p>
            <w:pPr>
              <w:pStyle w:val="TableText"/>
            </w:pPr>
            <w:r>
              <w:t xml:space="preserve">payment</w:t>
            </w:r>
          </w:p>
        </w:tc>
      </w:tr>
      <w:tr>
        <w:trPr>
          <w:cantSplit/>
        </w:trPr>
        <w:tc>
          <w:tcPr>
            <w:tcW w:w="794" w:type="dxa"/>
          </w:tcPr>
          <w:p>
            <w:pPr>
              <w:pStyle w:val="TableText"/>
            </w:pPr>
            <w:r>
              <w:t xml:space="preserve">4</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5</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6</w:t>
            </w:r>
          </w:p>
        </w:tc>
        <w:tc>
          <w:tcPr>
            <w:tcW w:w="2268" w:type="dxa"/>
          </w:tcPr>
          <w:p>
            <w:pPr>
              <w:pStyle w:val="TableText"/>
            </w:pPr>
            <w:r>
              <w:t xml:space="preserve">Case Officer</w:t>
            </w:r>
          </w:p>
        </w:tc>
        <w:tc>
          <w:tcPr>
            <w:tcW w:w="4026" w:type="dxa"/>
          </w:tcPr>
          <w:p>
            <w:pPr>
              <w:pStyle w:val="TableText"/>
            </w:pPr>
            <w:r>
              <w:t xml:space="preserve">Review</w:t>
            </w:r>
          </w:p>
        </w:tc>
        <w:tc>
          <w:tcPr>
            <w:tcW w:w="2552" w:type="dxa"/>
          </w:tcPr>
          <w:p>
            <w:pPr>
              <w:pStyle w:val="TableText"/>
            </w:pPr>
            <w:r>
              <w:t xml:space="preserve">review</w:t>
            </w:r>
          </w:p>
        </w:tc>
      </w:tr>
      <w:tr>
        <w:trPr>
          <w:cantSplit/>
        </w:trPr>
        <w:tc>
          <w:tcPr>
            <w:tcW w:w="794" w:type="dxa"/>
          </w:tcPr>
          <w:p>
            <w:pPr>
              <w:pStyle w:val="TableText"/>
            </w:pPr>
            <w:r>
              <w:t xml:space="preserve">7</w:t>
            </w:r>
          </w:p>
        </w:tc>
        <w:tc>
          <w:tcPr>
            <w:tcW w:w="2268" w:type="dxa"/>
          </w:tcPr>
          <w:p>
            <w:pPr>
              <w:pStyle w:val="TableText"/>
            </w:pPr>
            <w:r>
              <w:t xml:space="preserve">Supervisor</w:t>
            </w:r>
          </w:p>
        </w:tc>
        <w:tc>
          <w:tcPr>
            <w:tcW w:w="4026" w:type="dxa"/>
          </w:tcPr>
          <w:p>
            <w:pPr>
              <w:pStyle w:val="TableText"/>
            </w:pPr>
            <w:r>
              <w:t xml:space="preserve">Approve</w:t>
            </w:r>
          </w:p>
        </w:tc>
        <w:tc>
          <w:tcPr>
            <w:tcW w:w="2552" w:type="dxa"/>
          </w:tcPr>
          <w:p>
            <w:pPr>
              <w:pStyle w:val="TableText"/>
            </w:pPr>
            <w:r>
              <w:t xml:space="preserve">approve</w:t>
            </w:r>
          </w:p>
        </w:tc>
      </w:tr>
      <w:tr>
        <w:trPr>
          <w:cantSplit/>
        </w:trPr>
        <w:tc>
          <w:tcPr>
            <w:tcW w:w="794" w:type="dxa"/>
          </w:tcPr>
          <w:p>
            <w:pPr>
              <w:pStyle w:val="TableText"/>
            </w:pPr>
            <w:r>
              <w:t xml:space="preserve">8</w:t>
            </w:r>
          </w:p>
        </w:tc>
        <w:tc>
          <w:tcPr>
            <w:tcW w:w="2268" w:type="dxa"/>
          </w:tcPr>
          <w:p>
            <w:pPr>
              <w:pStyle w:val="TableText"/>
            </w:pPr>
            <w:r>
              <w:t xml:space="preserve">Supervisor</w:t>
            </w:r>
          </w:p>
        </w:tc>
        <w:tc>
          <w:tcPr>
            <w:tcW w:w="4026" w:type="dxa"/>
          </w:tcPr>
          <w:p>
            <w:pPr>
              <w:pStyle w:val="TableText"/>
            </w:pPr>
            <w:r>
              <w:t xml:space="preserve">Approve</w:t>
            </w:r>
          </w:p>
        </w:tc>
        <w:tc>
          <w:tcPr>
            <w:tcW w:w="2552" w:type="dxa"/>
          </w:tcPr>
          <w:p>
            <w:pPr>
              <w:pStyle w:val="TableText"/>
            </w:pPr>
            <w:r>
              <w:t xml:space="preserve">approve</w:t>
            </w:r>
          </w:p>
        </w:tc>
      </w:tr>
      <w:tr>
        <w:trPr>
          <w:cantSplit/>
        </w:trPr>
        <w:tc>
          <w:tcPr>
            <w:tcW w:w="794" w:type="dxa"/>
          </w:tcPr>
          <w:p>
            <w:pPr>
              <w:pStyle w:val="TableText"/>
            </w:pPr>
            <w:r>
              <w:t xml:space="preserve">9</w:t>
            </w:r>
          </w:p>
        </w:tc>
        <w:tc>
          <w:tcPr>
            <w:tcW w:w="2268" w:type="dxa"/>
          </w:tcPr>
          <w:p>
            <w:pPr>
              <w:pStyle w:val="TableText"/>
            </w:pPr>
            <w:r>
              <w:t xml:space="preserve">Supervisor</w:t>
            </w:r>
          </w:p>
        </w:tc>
        <w:tc>
          <w:tcPr>
            <w:tcW w:w="4026" w:type="dxa"/>
          </w:tcPr>
          <w:p>
            <w:pPr>
              <w:pStyle w:val="TableText"/>
            </w:pPr>
            <w:r>
              <w:t xml:space="preserve">Approve</w:t>
            </w:r>
          </w:p>
        </w:tc>
        <w:tc>
          <w:tcPr>
            <w:tcW w:w="2552" w:type="dxa"/>
          </w:tcPr>
          <w:p>
            <w:pPr>
              <w:pStyle w:val="TableText"/>
            </w:pPr>
            <w:r>
              <w:t xml:space="preserve">approve</w:t>
            </w:r>
          </w:p>
        </w:tc>
      </w:tr>
      <w:tr>
        <w:trPr>
          <w:cantSplit/>
        </w:trPr>
        <w:tc>
          <w:tcPr>
            <w:tcW w:w="794" w:type="dxa"/>
          </w:tcPr>
          <w:p>
            <w:pPr>
              <w:pStyle w:val="TableText"/>
            </w:pPr>
            <w:r>
              <w:t xml:space="preserve">10</w:t>
            </w:r>
          </w:p>
        </w:tc>
        <w:tc>
          <w:tcPr>
            <w:tcW w:w="2268" w:type="dxa"/>
          </w:tcPr>
          <w:p>
            <w:pPr>
              <w:pStyle w:val="TableText"/>
            </w:pPr>
            <w:r>
              <w:t xml:space="preserve">System</w:t>
            </w:r>
          </w:p>
        </w:tc>
        <w:tc>
          <w:tcPr>
            <w:tcW w:w="4026" w:type="dxa"/>
          </w:tcPr>
          <w:p>
            <w:pPr>
              <w:pStyle w:val="TableText"/>
            </w:pPr>
            <w:r>
              <w:t xml:space="preserve">Generate Document</w:t>
            </w:r>
          </w:p>
        </w:tc>
        <w:tc>
          <w:tcPr>
            <w:tcW w:w="2552" w:type="dxa"/>
          </w:tcPr>
          <w:p>
            <w:pPr>
              <w:pStyle w:val="TableText"/>
            </w:pPr>
            <w:r>
              <w:t xml:space="preserve">generate-document</w:t>
            </w:r>
          </w:p>
        </w:tc>
      </w:tr>
      <w:tr>
        <w:trPr>
          <w:cantSplit/>
        </w:trPr>
        <w:tc>
          <w:tcPr>
            <w:tcW w:w="794" w:type="dxa"/>
          </w:tcPr>
          <w:p>
            <w:pPr>
              <w:pStyle w:val="TableText"/>
            </w:pPr>
            <w:r>
              <w:t xml:space="preserve">11</w:t>
            </w:r>
          </w:p>
        </w:tc>
        <w:tc>
          <w:tcPr>
            <w:tcW w:w="2268" w:type="dxa"/>
          </w:tcPr>
          <w:p>
            <w:pPr>
              <w:pStyle w:val="TableText"/>
            </w:pPr>
            <w:r>
              <w:t xml:space="preserve">System</w:t>
            </w:r>
          </w:p>
        </w:tc>
        <w:tc>
          <w:tcPr>
            <w:tcW w:w="4026" w:type="dxa"/>
          </w:tcPr>
          <w:p>
            <w:pPr>
              <w:pStyle w:val="TableText"/>
            </w:pPr>
            <w:r>
              <w:t xml:space="preserve">Notify Client</w:t>
            </w:r>
          </w:p>
        </w:tc>
        <w:tc>
          <w:tcPr>
            <w:tcW w:w="2552" w:type="dxa"/>
          </w:tcPr>
          <w:p>
            <w:pPr>
              <w:pStyle w:val="TableText"/>
            </w:pPr>
            <w:r>
              <w:t xml:space="preserve">notify</w:t>
            </w:r>
          </w:p>
        </w:tc>
      </w:tr>
    </w:tbl>
    <w:p>
      <w:pPr>
        <w:pStyle w:val="Heading2"/>
        <w:keepNext/>
      </w:pPr>
      <w:r>
        <w:t xml:space="preserve">Step by step</w:t>
      </w:r>
    </w:p>
    <w:p>
      <w:r>
        <w:t xml:space="preserve">Who takes part in this journey: Citizen, Case Officer, Supervisor, Anyone (public). Citizen steps are shown on a desktop and on a 375 px phone; back-office steps on a desktop.</w:t>
      </w:r>
    </w:p>
    <w:p>
      <w:pPr>
        <w:pStyle w:val="Heading3"/>
        <w:keepNext/>
      </w:pPr>
      <w:r>
        <w:t xml:space="preserve">Step 1. Find the service</w:t>
      </w:r>
    </w:p>
    <w:p>
      <w:pPr>
        <w:keepNext/>
      </w:pPr>
      <w:r>
        <w:rPr>
          <w:i/>
          <w:iCs/>
        </w:rPr>
        <w:t xml:space="preserve">Citizen · National e-Services portal</w:t>
      </w:r>
    </w:p>
    <w:p>
      <w:pPr>
        <w:keepNext/>
      </w:pPr>
      <w:r>
        <w:t xml:space="preserve">On the national e-Services portal the citizen opens All Services and searches for the service by name ("Export Permit for Livestock"). Each result names the service and the ministry that provides it.</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1" name="img001.png" descr="Find the servic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img001.png" descr="Find the service - desktop"/>
                          <pic:cNvPicPr/>
                        </pic:nvPicPr>
                        <pic:blipFill>
                          <a:blip r:embed="rIdImg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2" name="img002.png" descr="Find the servic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img002.png" descr="Find the service - 375 px phone"/>
                          <pic:cNvPicPr/>
                        </pic:nvPicPr>
                        <pic:blipFill>
                          <a:blip r:embed="rIdImg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 Find the service - desktop (left) and a 375 px phone (right).</w:t>
      </w:r>
    </w:p>
    <w:p>
      <w:pPr>
        <w:pStyle w:val="Heading3"/>
        <w:keepNext/>
      </w:pPr>
      <w:r>
        <w:t xml:space="preserve">Step 2. Read the service page</w:t>
      </w:r>
    </w:p>
    <w:p>
      <w:pPr>
        <w:keepNext/>
      </w:pPr>
      <w:r>
        <w:rPr>
          <w:i/>
          <w:iCs/>
        </w:rPr>
        <w:t xml:space="preserve">Citizen · National e-Services portal</w:t>
      </w:r>
    </w:p>
    <w:p>
      <w:pPr>
        <w:keepNext/>
      </w:pPr>
      <w:r>
        <w:t xml:space="preserve">The service page sets out what the service is for, who provides it, the fee, how long it takes and the documents to have ready. "Start application" begins an application (the citizen is signed in with ZamPass).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3" name="img003.png" descr="Read the service pag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img003.png" descr="Read the service page - desktop"/>
                          <pic:cNvPicPr/>
                        </pic:nvPicPr>
                        <pic:blipFill>
                          <a:blip r:embed="rIdImg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4" name="img004.png" descr="Read the service pag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img004.png" descr="Read the service page - 375 px phone"/>
                          <pic:cNvPicPr/>
                        </pic:nvPicPr>
                        <pic:blipFill>
                          <a:blip r:embed="rIdImg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2: Read the service page - desktop (left) and a 375 px phone (right).</w:t>
      </w:r>
    </w:p>
    <w:p>
      <w:pPr>
        <w:pStyle w:val="Heading3"/>
        <w:keepNext/>
      </w:pPr>
      <w:r>
        <w:t xml:space="preserve">Step 3. Confirm the applicant details</w:t>
      </w:r>
    </w:p>
    <w:p>
      <w:pPr>
        <w:keepNext/>
      </w:pPr>
      <w:r>
        <w:rPr>
          <w:i/>
          <w:iCs/>
        </w:rPr>
        <w:t xml:space="preserve">Citizen · National e-Services portal</w:t>
      </w:r>
    </w:p>
    <w:p>
      <w:pPr>
        <w:keepNext/>
      </w:pPr>
      <w:r>
        <w:t xml:space="preserve">The applicant details are filled in from the citizen's ZamPass account. The citizen says whom they are applying for (themself) and continues with "Proceed to Application".</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5" name="img005.png" descr="Confirm the applicant detail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img005.png" descr="Confirm the applicant details - desktop"/>
                          <pic:cNvPicPr/>
                        </pic:nvPicPr>
                        <pic:blipFill>
                          <a:blip r:embed="rIdImg5"/>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6" name="img006.png" descr="Confirm the applicant detail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img006.png" descr="Confirm the applicant details - 375 px phone"/>
                          <pic:cNvPicPr/>
                        </pic:nvPicPr>
                        <pic:blipFill>
                          <a:blip r:embed="rIdImg6"/>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3: Confirm the applicant details - desktop (left) and a 375 px phone (right).</w:t>
      </w:r>
    </w:p>
    <w:p>
      <w:pPr>
        <w:pStyle w:val="Heading3"/>
        <w:keepNext/>
      </w:pPr>
      <w:r>
        <w:t xml:space="preserve">Step 4. Fill in the application form</w:t>
      </w:r>
    </w:p>
    <w:p>
      <w:pPr>
        <w:keepNext/>
      </w:pPr>
      <w:r>
        <w:rPr>
          <w:i/>
          <w:iCs/>
        </w:rPr>
        <w:t xml:space="preserve">Citizen · National e-Services portal</w:t>
      </w:r>
    </w:p>
    <w:p>
      <w:pPr>
        <w:keepNext/>
      </w:pPr>
      <w:r>
        <w:t xml:space="preserve">The citizen answers the service's own application form, converted from the legacy system (18 answers in this run, all synthetic), for the type of application "New". Questions marked * must be answered; some appear only after an earlier answer. Answers are saved as the citizen types, so an unfinished application can be reopened from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8651596"/>
                  <wp:effectExtent l="0" t="0" r="0" b="0"/>
                  <wp:docPr id="1007" name="img007.png" descr="Fill in the application form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img007.png" descr="Fill in the application form - desktop"/>
                          <pic:cNvPicPr/>
                        </pic:nvPicPr>
                        <pic:blipFill>
                          <a:blip r:embed="rIdImg7"/>
                          <a:stretch>
                            <a:fillRect/>
                          </a:stretch>
                        </pic:blipFill>
                        <pic:spPr>
                          <a:xfrm>
                            <a:off x="0" y="0"/>
                            <a:ext cx="4176000" cy="8651596"/>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08" name="img008.png" descr="Fill in the application form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img008.png" descr="Fill in the application form - 375 px phone"/>
                          <pic:cNvPicPr/>
                        </pic:nvPicPr>
                        <pic:blipFill>
                          <a:blip r:embed="rIdImg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4: Fill in the application form - desktop (left) and a 375 px phone (right).</w:t>
      </w:r>
    </w:p>
    <w:p>
      <w:pPr>
        <w:pStyle w:val="Heading3"/>
        <w:keepNext/>
      </w:pPr>
      <w:r>
        <w:t xml:space="preserve">Step 5. Upload the supporting documents</w:t>
      </w:r>
    </w:p>
    <w:p>
      <w:pPr>
        <w:keepNext/>
      </w:pPr>
      <w:r>
        <w:rPr>
          <w:i/>
          <w:iCs/>
        </w:rPr>
        <w:t xml:space="preserve">Citizen · National e-Services portal</w:t>
      </w:r>
    </w:p>
    <w:p>
      <w:pPr>
        <w:keepNext/>
      </w:pPr>
      <w:r>
        <w:t xml:space="preserve">Each document the service asks for has its own upload (12 in this run: National Identity Card (NRC), Company Registration Certificate, Laboratory Test Results, Import Permit from the Destination Country, Sanitary Compliance Certificate, Livestock Product Inspection, Proof of Vaccinations, Veterinary Health Certificate., CITES Certificate, Wildlife and National Parks permit, A Cover Letter explaining the purpose for export., Passport). The files are checked and stored with the application; the page confirms each upload.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09" name="img009.png" descr="Upload the supporting documen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img009.png" descr="Upload the supporting documents - desktop"/>
                          <pic:cNvPicPr/>
                        </pic:nvPicPr>
                        <pic:blipFill>
                          <a:blip r:embed="rIdImg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0" name="img010.png" descr="Upload the supporting documen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img010.png" descr="Upload the supporting documents - 375 px phone"/>
                          <pic:cNvPicPr/>
                        </pic:nvPicPr>
                        <pic:blipFill>
                          <a:blip r:embed="rIdImg1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5: Upload the supporting documents - desktop (left) and a 375 px phone (right).</w:t>
      </w:r>
    </w:p>
    <w:p>
      <w:pPr>
        <w:pStyle w:val="Heading3"/>
        <w:keepNext/>
      </w:pPr>
      <w:r>
        <w:t xml:space="preserve">Step 6. Check the answers and confirm the declaration</w:t>
      </w:r>
    </w:p>
    <w:p>
      <w:pPr>
        <w:keepNext/>
      </w:pPr>
      <w:r>
        <w:rPr>
          <w:i/>
          <w:iCs/>
        </w:rPr>
        <w:t xml:space="preserve">Citizen · National e-Services portal</w:t>
      </w:r>
    </w:p>
    <w:p>
      <w:pPr>
        <w:keepNext/>
      </w:pPr>
      <w:r>
        <w:t xml:space="preserve">Before sending, the citizen sees every answer and document on one page and can go back to change them. The declaration that the information is true and complete must be ticked.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9553441"/>
                  <wp:effectExtent l="0" t="0" r="0" b="0"/>
                  <wp:docPr id="1011" name="img011.png" descr="Check the answers and confirm the declaration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img011.png" descr="Check the answers and confirm the declaration - desktop"/>
                          <pic:cNvPicPr/>
                        </pic:nvPicPr>
                        <pic:blipFill>
                          <a:blip r:embed="rIdImg11"/>
                          <a:stretch>
                            <a:fillRect/>
                          </a:stretch>
                        </pic:blipFill>
                        <pic:spPr>
                          <a:xfrm>
                            <a:off x="0" y="0"/>
                            <a:ext cx="4176000" cy="955344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2" name="img012.png" descr="Check the answers and confirm the declaration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img012.png" descr="Check the answers and confirm the declaration - 375 px phone"/>
                          <pic:cNvPicPr/>
                        </pic:nvPicPr>
                        <pic:blipFill>
                          <a:blip r:embed="rIdImg1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6: Check the answers and confirm the declaration - desktop (left) and a 375 px phone (right).</w:t>
      </w:r>
    </w:p>
    <w:p>
      <w:pPr>
        <w:pStyle w:val="Heading3"/>
        <w:keepNext/>
      </w:pPr>
      <w:r>
        <w:t xml:space="preserve">Step 7. Application sent</w:t>
      </w:r>
    </w:p>
    <w:p>
      <w:pPr>
        <w:keepNext/>
      </w:pPr>
      <w:r>
        <w:rPr>
          <w:i/>
          <w:iCs/>
        </w:rPr>
        <w:t xml:space="preserve">Citizen · National e-Services portal</w:t>
      </w:r>
    </w:p>
    <w:p>
      <w:pPr>
        <w:keepNext/>
      </w:pPr>
      <w:r>
        <w:t xml:space="preserve">The portal confirms the application with the ministry's reference number (MFL-EPL/00001/10-21-26 in this run). The application goes to the ministry's officers; the citizen follows it in My Workplace.</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3" name="img013.png" descr="Application s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img013.png" descr="Application sent - desktop"/>
                          <pic:cNvPicPr/>
                        </pic:nvPicPr>
                        <pic:blipFill>
                          <a:blip r:embed="rIdImg13"/>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4" name="img014.png" descr="Application s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img014.png" descr="Application sent - 375 px phone"/>
                          <pic:cNvPicPr/>
                        </pic:nvPicPr>
                        <pic:blipFill>
                          <a:blip r:embed="rIdImg14"/>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7: Application sent - desktop (left) and a 375 px phone (right).</w:t>
      </w:r>
    </w:p>
    <w:p>
      <w:pPr>
        <w:pStyle w:val="Heading3"/>
        <w:keepNext/>
      </w:pPr>
      <w:r>
        <w:t xml:space="preserve">Step 8. Take the new application on</w:t>
      </w:r>
    </w:p>
    <w:p>
      <w:pPr>
        <w:keepNext/>
      </w:pPr>
      <w:r>
        <w:rPr>
          <w:i/>
          <w:iCs/>
        </w:rPr>
        <w:t xml:space="preserve">Case Officer · Back office</w:t>
      </w:r>
    </w:p>
    <w:p>
      <w:pPr>
        <w:keepNext/>
      </w:pPr>
      <w:r>
        <w:t xml:space="preserve">The application arrives in the case queue of the ministry that owns the service (Department of Fisheries and Livestock Marketing); only its staff see it. The officer opens it by its reference number - answers, documents and process are on the case - assigns it to themself and takes it on.</w:t>
      </w:r>
    </w:p>
    <w:p>
      <w:pPr>
        <w:keepNext/>
        <w:spacing w:after="0"/>
        <w:jc w:val="center"/>
      </w:pPr>
      <w:r>
        <w:drawing>
          <wp:inline distT="0" distB="0" distL="0" distR="0">
            <wp:extent cx="5940000" cy="3913616"/>
            <wp:effectExtent l="0" t="0" r="0" b="0"/>
            <wp:docPr id="1015" name="img015.png" descr="Take the new application 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img015.png" descr="Take the new application on"/>
                    <pic:cNvPicPr/>
                  </pic:nvPicPr>
                  <pic:blipFill>
                    <a:blip r:embed="rIdImg15"/>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8: Take the new application on.</w:t>
      </w:r>
    </w:p>
    <w:p>
      <w:pPr>
        <w:pStyle w:val="Heading3"/>
        <w:keepNext/>
      </w:pPr>
      <w:r>
        <w:t xml:space="preserve">Step 9. Set the fee and raise the invoice</w:t>
      </w:r>
    </w:p>
    <w:p>
      <w:pPr>
        <w:keepNext/>
      </w:pPr>
      <w:r>
        <w:rPr>
          <w:i/>
          <w:iCs/>
        </w:rPr>
        <w:t xml:space="preserve">Case Officer · Back office</w:t>
      </w:r>
    </w:p>
    <w:p>
      <w:pPr>
        <w:keepNext/>
      </w:pPr>
      <w:r>
        <w:t xml:space="preserve">The Case Officer works out the fee from the service's imported fee schedule ("Non-Commercial 1. 5 domestic animals or less ZMW 66.67 2. Consignment of animal products each 20 kgs ZMW 66.67 Commercial 1. Large ruminants (max 50 animals) ZM"). "Submit Fees and Advance" records it, raises a ZamPay invoice for the applicant and moves the case to payment.</w:t>
      </w:r>
    </w:p>
    <w:p>
      <w:pPr>
        <w:keepNext/>
        <w:spacing w:after="0"/>
        <w:jc w:val="center"/>
      </w:pPr>
      <w:r>
        <w:drawing>
          <wp:inline distT="0" distB="0" distL="0" distR="0">
            <wp:extent cx="5940000" cy="3913616"/>
            <wp:effectExtent l="0" t="0" r="0" b="0"/>
            <wp:docPr id="1016" name="img016.png" descr="Set the fee and raise the invo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img016.png" descr="Set the fee and raise the invoice"/>
                    <pic:cNvPicPr/>
                  </pic:nvPicPr>
                  <pic:blipFill>
                    <a:blip r:embed="rIdImg16"/>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9: Set the fee and raise the invoice.</w:t>
      </w:r>
    </w:p>
    <w:p>
      <w:pPr>
        <w:pStyle w:val="Heading3"/>
        <w:keepNext/>
      </w:pPr>
      <w:r>
        <w:t xml:space="preserve">Step 10. See that the fee is due</w:t>
      </w:r>
    </w:p>
    <w:p>
      <w:pPr>
        <w:keepNext/>
      </w:pPr>
      <w:r>
        <w:rPr>
          <w:i/>
          <w:iCs/>
        </w:rPr>
        <w:t xml:space="preserve">Citizen · National e-Services portal</w:t>
      </w:r>
    </w:p>
    <w:p>
      <w:pPr>
        <w:keepNext/>
      </w:pPr>
      <w:r>
        <w:t xml:space="preserve">The application shows "Waiting for your payment" in My Workplace with a Pay button (K66.67). The office priced the case; the invoice was raised on ZamPay.</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7" name="img017.png" descr="See that the fee is due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img017.png" descr="See that the fee is due - desktop"/>
                          <pic:cNvPicPr/>
                        </pic:nvPicPr>
                        <pic:blipFill>
                          <a:blip r:embed="rIdImg17"/>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18" name="img018.png" descr="See that the fee is due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img018.png" descr="See that the fee is due - 375 px phone"/>
                          <pic:cNvPicPr/>
                        </pic:nvPicPr>
                        <pic:blipFill>
                          <a:blip r:embed="rIdImg18"/>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10: See that the fee is due - desktop (left) and a 375 px phone (right).</w:t>
      </w:r>
    </w:p>
    <w:p>
      <w:pPr>
        <w:pStyle w:val="Heading3"/>
        <w:keepNext/>
      </w:pPr>
      <w:r>
        <w:t xml:space="preserve">Step 11. Pay with ZamPay</w:t>
      </w:r>
    </w:p>
    <w:p>
      <w:pPr>
        <w:keepNext/>
      </w:pPr>
      <w:r>
        <w:rPr>
          <w:i/>
          <w:iCs/>
        </w:rPr>
        <w:t xml:space="preserve">Citizen · National e-Services portal</w:t>
      </w:r>
    </w:p>
    <w:p>
      <w:pPr>
        <w:keepNext/>
      </w:pPr>
      <w:r>
        <w:t xml:space="preserve">Pay opens the invoice (K66.67, the amount set by the platform, never by the page) with its PDF preview; the citizen pays at ZamPay by mobile money or bank card.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19" name="img019.png" descr="Pay with ZamPay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img019.png" descr="Pay with ZamPay - desktop"/>
                          <pic:cNvPicPr/>
                        </pic:nvPicPr>
                        <pic:blipFill>
                          <a:blip r:embed="rIdImg19"/>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0" name="img020.png" descr="Pay with ZamPay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img020.png" descr="Pay with ZamPay - 375 px phone"/>
                          <pic:cNvPicPr/>
                        </pic:nvPicPr>
                        <pic:blipFill>
                          <a:blip r:embed="rIdImg20"/>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11: Pay with ZamPay - desktop (left) and a 375 px phone (right).</w:t>
      </w:r>
    </w:p>
    <w:p>
      <w:pPr>
        <w:pStyle w:val="Heading3"/>
        <w:keepNext/>
      </w:pPr>
      <w:r>
        <w:t xml:space="preserve">Step 12. Payment received</w:t>
      </w:r>
    </w:p>
    <w:p>
      <w:pPr>
        <w:keepNext/>
      </w:pPr>
      <w:r>
        <w:rPr>
          <w:i/>
          <w:iCs/>
        </w:rPr>
        <w:t xml:space="preserve">Citizen · National e-Services portal</w:t>
      </w:r>
    </w:p>
    <w:p>
      <w:pPr>
        <w:keepNext/>
      </w:pPr>
      <w:r>
        <w:t xml:space="preserve">ZamPay reports the payment; the dialog says "Paid. Thank you" and the application moves on to the ministry's officers.</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1" name="img021.png" descr="Payment received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img021.png" descr="Payment received - desktop"/>
                          <pic:cNvPicPr/>
                        </pic:nvPicPr>
                        <pic:blipFill>
                          <a:blip r:embed="rIdImg21"/>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2" name="img022.png" descr="Payment received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img022.png" descr="Payment received - 375 px phone"/>
                          <pic:cNvPicPr/>
                        </pic:nvPicPr>
                        <pic:blipFill>
                          <a:blip r:embed="rIdImg22"/>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12: Payment received - desktop (left) and a 375 px phone (right).</w:t>
      </w:r>
    </w:p>
    <w:p>
      <w:pPr>
        <w:pStyle w:val="Heading3"/>
        <w:keepNext/>
      </w:pPr>
      <w:r>
        <w:t xml:space="preserve">Step 13. Receive, Inspect, Report Findings</w:t>
      </w:r>
    </w:p>
    <w:p>
      <w:pPr>
        <w:keepNext/>
      </w:pPr>
      <w:r>
        <w:rPr>
          <w:i/>
          <w:iCs/>
        </w:rPr>
        <w:t xml:space="preserve">Case Officer · Back office</w:t>
      </w:r>
    </w:p>
    <w:p>
      <w:pPr>
        <w:keepNext/>
      </w:pPr>
      <w:r>
        <w:t xml:space="preserve">The Case Officer works on "Receive, Inspect, Report Findings" (review in the imported process), checks the application and its documents, and completes the step.</w:t>
      </w:r>
    </w:p>
    <w:p>
      <w:pPr>
        <w:keepNext/>
        <w:spacing w:after="0"/>
        <w:jc w:val="center"/>
      </w:pPr>
      <w:r>
        <w:drawing>
          <wp:inline distT="0" distB="0" distL="0" distR="0">
            <wp:extent cx="5940000" cy="3913616"/>
            <wp:effectExtent l="0" t="0" r="0" b="0"/>
            <wp:docPr id="1023" name="img023.png" descr="Receive, Inspect, Report Find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img023.png" descr="Receive, Inspect, Report Findings"/>
                    <pic:cNvPicPr/>
                  </pic:nvPicPr>
                  <pic:blipFill>
                    <a:blip r:embed="rIdImg23"/>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13: Receive, Inspect, Report Findings.</w:t>
      </w:r>
    </w:p>
    <w:p>
      <w:pPr>
        <w:pStyle w:val="Heading3"/>
        <w:keepNext/>
      </w:pPr>
      <w:r>
        <w:t xml:space="preserve">Step 14. Review Expert Reports, Draft Decision</w:t>
      </w:r>
    </w:p>
    <w:p>
      <w:pPr>
        <w:keepNext/>
      </w:pPr>
      <w:r>
        <w:rPr>
          <w:i/>
          <w:iCs/>
        </w:rPr>
        <w:t xml:space="preserve">Case Officer · Back office</w:t>
      </w:r>
    </w:p>
    <w:p>
      <w:pPr>
        <w:keepNext/>
      </w:pPr>
      <w:r>
        <w:t xml:space="preserve">The Case Officer works on "Review Expert Reports, Draft Decision" (review in the imported process), checks the application and its documents, and completes the step.</w:t>
      </w:r>
    </w:p>
    <w:p>
      <w:pPr>
        <w:keepNext/>
        <w:spacing w:after="0"/>
        <w:jc w:val="center"/>
      </w:pPr>
      <w:r>
        <w:drawing>
          <wp:inline distT="0" distB="0" distL="0" distR="0">
            <wp:extent cx="5940000" cy="3913616"/>
            <wp:effectExtent l="0" t="0" r="0" b="0"/>
            <wp:docPr id="1024" name="img024.png" descr="Review Expert Reports, Draft Deci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img024.png" descr="Review Expert Reports, Draft Decision"/>
                    <pic:cNvPicPr/>
                  </pic:nvPicPr>
                  <pic:blipFill>
                    <a:blip r:embed="rIdImg24"/>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14: Review Expert Reports, Draft Decision.</w:t>
      </w:r>
    </w:p>
    <w:p>
      <w:pPr>
        <w:pStyle w:val="Heading3"/>
        <w:keepNext/>
      </w:pPr>
      <w:r>
        <w:t xml:space="preserve">Step 15. Decide: Review, Inspect, e-Sign Supervisor</w:t>
      </w:r>
    </w:p>
    <w:p>
      <w:pPr>
        <w:keepNext/>
      </w:pPr>
      <w:r>
        <w:rPr>
          <w:i/>
          <w:iCs/>
        </w:rPr>
        <w:t xml:space="preserve">Supervisor · Back office</w:t>
      </w:r>
    </w:p>
    <w:p>
      <w:pPr>
        <w:keepNext/>
      </w:pPr>
      <w:r>
        <w:t xml:space="preserve">At "Review, Inspect, e-Sign Supervisor" the Supervisor records the decision: approve, with a comment kept in the case history. Approving moves the case on; the last decision completes it and issues the document.</w:t>
      </w:r>
    </w:p>
    <w:p>
      <w:pPr>
        <w:keepNext/>
        <w:spacing w:after="0"/>
        <w:jc w:val="center"/>
      </w:pPr>
      <w:r>
        <w:drawing>
          <wp:inline distT="0" distB="0" distL="0" distR="0">
            <wp:extent cx="5940000" cy="3913616"/>
            <wp:effectExtent l="0" t="0" r="0" b="0"/>
            <wp:docPr id="1025" name="img025.png" descr="Decide: Review, Inspect, e-Sign Supervis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img025.png" descr="Decide: Review, Inspect, e-Sign Supervisor"/>
                    <pic:cNvPicPr/>
                  </pic:nvPicPr>
                  <pic:blipFill>
                    <a:blip r:embed="rIdImg25"/>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15: Decide: Review, Inspect, e-Sign Supervisor.</w:t>
      </w:r>
    </w:p>
    <w:p>
      <w:pPr>
        <w:pStyle w:val="Heading3"/>
        <w:keepNext/>
      </w:pPr>
      <w:r>
        <w:t xml:space="preserve">Step 16. Decide: Review, Inspect, Decision, e-Sign Supervisor</w:t>
      </w:r>
    </w:p>
    <w:p>
      <w:pPr>
        <w:keepNext/>
      </w:pPr>
      <w:r>
        <w:rPr>
          <w:i/>
          <w:iCs/>
        </w:rPr>
        <w:t xml:space="preserve">Supervisor · Back office</w:t>
      </w:r>
    </w:p>
    <w:p>
      <w:pPr>
        <w:keepNext/>
      </w:pPr>
      <w:r>
        <w:t xml:space="preserve">At "Review, Inspect, Decision, e-Sign Supervisor" the Supervisor records the decision: approve, with a comment kept in the case history. Approving moves the case on; the last decision completes it and issues the document.</w:t>
      </w:r>
    </w:p>
    <w:p>
      <w:pPr>
        <w:keepNext/>
        <w:spacing w:after="0"/>
        <w:jc w:val="center"/>
      </w:pPr>
      <w:r>
        <w:drawing>
          <wp:inline distT="0" distB="0" distL="0" distR="0">
            <wp:extent cx="5940000" cy="3913616"/>
            <wp:effectExtent l="0" t="0" r="0" b="0"/>
            <wp:docPr id="1026" name="img026.png" descr="Decide: Review, Inspect, Decision, e-Sign Supervis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img026.png" descr="Decide: Review, Inspect, Decision, e-Sign Supervisor"/>
                    <pic:cNvPicPr/>
                  </pic:nvPicPr>
                  <pic:blipFill>
                    <a:blip r:embed="rIdImg26"/>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16: Decide: Review, Inspect, Decision, e-Sign Supervisor.</w:t>
      </w:r>
    </w:p>
    <w:p>
      <w:pPr>
        <w:pStyle w:val="Heading3"/>
        <w:keepNext/>
      </w:pPr>
      <w:r>
        <w:t xml:space="preserve">Step 17. Decide: Review, Inspect, Decision, e-Sign Second Supervisor</w:t>
      </w:r>
    </w:p>
    <w:p>
      <w:pPr>
        <w:keepNext/>
      </w:pPr>
      <w:r>
        <w:rPr>
          <w:i/>
          <w:iCs/>
        </w:rPr>
        <w:t xml:space="preserve">Supervisor · Back office</w:t>
      </w:r>
    </w:p>
    <w:p>
      <w:pPr>
        <w:keepNext/>
      </w:pPr>
      <w:r>
        <w:t xml:space="preserve">At "Review, Inspect, Decision, e-Sign Second Supervisor" the Supervisor records the decision: approve, with a comment kept in the case history. Approving moves the case on; the last decision completes it and issues the document.</w:t>
      </w:r>
    </w:p>
    <w:p>
      <w:pPr>
        <w:keepNext/>
        <w:spacing w:after="0"/>
        <w:jc w:val="center"/>
      </w:pPr>
      <w:r>
        <w:drawing>
          <wp:inline distT="0" distB="0" distL="0" distR="0">
            <wp:extent cx="5940000" cy="3913616"/>
            <wp:effectExtent l="0" t="0" r="0" b="0"/>
            <wp:docPr id="1027" name="img027.png" descr="Decide: Review, Inspect, Decision, e-Sign Second Supervis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img027.png" descr="Decide: Review, Inspect, Decision, e-Sign Second Supervisor"/>
                    <pic:cNvPicPr/>
                  </pic:nvPicPr>
                  <pic:blipFill>
                    <a:blip r:embed="rIdImg27"/>
                    <a:stretch>
                      <a:fillRect/>
                    </a:stretch>
                  </pic:blipFill>
                  <pic:spPr>
                    <a:xfrm>
                      <a:off x="0" y="0"/>
                      <a:ext cx="5940000" cy="3913616"/>
                    </a:xfrm>
                    <a:prstGeom prst="rect">
                      <a:avLst/>
                    </a:prstGeom>
                    <a:ln w="6350">
                      <a:solidFill>
                        <a:srgbClr val="BFBFBF"/>
                      </a:solidFill>
                    </a:ln>
                  </pic:spPr>
                </pic:pic>
              </a:graphicData>
            </a:graphic>
          </wp:inline>
        </w:drawing>
      </w:r>
    </w:p>
    <w:p>
      <w:pPr>
        <w:pStyle w:val="Caption"/>
      </w:pPr>
      <w:r>
        <w:t xml:space="preserve">Step 17: Decide: Review, Inspect, Decision, e-Sign Second Supervisor.</w:t>
      </w:r>
    </w:p>
    <w:p>
      <w:pPr>
        <w:pStyle w:val="Heading3"/>
        <w:keepNext/>
      </w:pPr>
      <w:r>
        <w:t xml:space="preserve">Step 18. The document in My permits</w:t>
      </w:r>
    </w:p>
    <w:p>
      <w:pPr>
        <w:keepNext/>
      </w:pPr>
      <w:r>
        <w:rPr>
          <w:i/>
          <w:iCs/>
        </w:rPr>
        <w:t xml:space="preserve">Citizen · National e-Services portal</w:t>
      </w:r>
    </w:p>
    <w:p>
      <w:pPr>
        <w:keepNext/>
      </w:pPr>
      <w:r>
        <w:t xml:space="preserve">The issued document (MFL-EPL-2026-00001 in this run: "CoGA Export Permit") is listed in "My permits and licences" with its validity and a download of the sealed PDF.</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28" name="img028.png" descr="The document in My permits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img028.png" descr="The document in My permits - desktop"/>
                          <pic:cNvPicPr/>
                        </pic:nvPicPr>
                        <pic:blipFill>
                          <a:blip r:embed="rIdImg28"/>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29" name="img029.png" descr="The document in My permits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img029.png" descr="The document in My permits - 375 px phone"/>
                          <pic:cNvPicPr/>
                        </pic:nvPicPr>
                        <pic:blipFill>
                          <a:blip r:embed="rIdImg29"/>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18: The document in My permits - desktop (left) and a 375 px phone (right).</w:t>
      </w:r>
    </w:p>
    <w:p>
      <w:pPr>
        <w:pStyle w:val="Heading3"/>
        <w:keepNext/>
      </w:pPr>
      <w:r>
        <w:t xml:space="preserve">Step 19. Verify the document</w:t>
      </w:r>
    </w:p>
    <w:p>
      <w:pPr>
        <w:keepNext/>
      </w:pPr>
      <w:r>
        <w:rPr>
          <w:i/>
          <w:iCs/>
        </w:rPr>
        <w:t xml:space="preserve">Anyone (public) · Public verification page</w:t>
      </w:r>
    </w:p>
    <w:p>
      <w:pPr>
        <w:keepNext/>
      </w:pPr>
      <w:r>
        <w:t xml:space="preserve">The QR code on the document opens the public verification page: genuine and current, to whom it was issued, and whether the electronic seal is valid. No sign-in is needed.</w:t>
      </w:r>
    </w:p>
    <w:tbl>
      <w:tblPr>
        <w:tblW w:w="9639" w:type="dxa"/>
        <w:tblBorders>
          <w:top w:val="nil"/>
          <w:left w:val="nil"/>
          <w:bottom w:val="nil"/>
          <w:right w:val="nil"/>
          <w:insideH w:val="nil"/>
          <w:insideV w:val="nil"/>
        </w:tblBorders>
        <w:tblLayout w:type="fixed"/>
        <w:tblLook w:val="04A0" w:firstRow="0" w:lastRow="0" w:firstColumn="0" w:lastColumn="0" w:noHBand="0" w:noVBand="1"/>
      </w:tblPr>
      <w:tblGrid>
        <w:gridCol w:w="6861"/>
        <w:gridCol w:w="2778"/>
      </w:tblGrid>
      <w:tr>
        <w:trPr>
          <w:cantSplit/>
        </w:trPr>
        <w:tc>
          <w:tcPr>
            <w:tcW w:w="6861" w:type="dxa"/>
          </w:tcPr>
          <w:p>
            <w:pPr>
              <w:keepNext/>
              <w:spacing w:after="0"/>
              <w:jc w:val="center"/>
            </w:pPr>
            <w:r>
              <w:drawing>
                <wp:inline distT="0" distB="0" distL="0" distR="0">
                  <wp:extent cx="4176000" cy="2751391"/>
                  <wp:effectExtent l="0" t="0" r="0" b="0"/>
                  <wp:docPr id="1030" name="img030.png" descr="Verify the document - desk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 name="img030.png" descr="Verify the document - desktop"/>
                          <pic:cNvPicPr/>
                        </pic:nvPicPr>
                        <pic:blipFill>
                          <a:blip r:embed="rIdImg30"/>
                          <a:stretch>
                            <a:fillRect/>
                          </a:stretch>
                        </pic:blipFill>
                        <pic:spPr>
                          <a:xfrm>
                            <a:off x="0" y="0"/>
                            <a:ext cx="4176000" cy="2751391"/>
                          </a:xfrm>
                          <a:prstGeom prst="rect">
                            <a:avLst/>
                          </a:prstGeom>
                          <a:ln w="6350">
                            <a:solidFill>
                              <a:srgbClr val="BFBFBF"/>
                            </a:solidFill>
                          </a:ln>
                        </pic:spPr>
                      </pic:pic>
                    </a:graphicData>
                  </a:graphic>
                </wp:inline>
              </w:drawing>
            </w:r>
          </w:p>
        </w:tc>
        <w:tc>
          <w:tcPr>
            <w:tcW w:w="2778" w:type="dxa"/>
          </w:tcPr>
          <w:p>
            <w:pPr>
              <w:keepNext/>
              <w:spacing w:after="0"/>
              <w:jc w:val="center"/>
            </w:pPr>
            <w:r>
              <w:drawing>
                <wp:inline distT="0" distB="0" distL="0" distR="0">
                  <wp:extent cx="1656000" cy="3585792"/>
                  <wp:effectExtent l="0" t="0" r="0" b="0"/>
                  <wp:docPr id="1031" name="img031.png" descr="Verify the document - 375 px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1" name="img031.png" descr="Verify the document - 375 px phone"/>
                          <pic:cNvPicPr/>
                        </pic:nvPicPr>
                        <pic:blipFill>
                          <a:blip r:embed="rIdImg31"/>
                          <a:stretch>
                            <a:fillRect/>
                          </a:stretch>
                        </pic:blipFill>
                        <pic:spPr>
                          <a:xfrm>
                            <a:off x="0" y="0"/>
                            <a:ext cx="1656000" cy="3585792"/>
                          </a:xfrm>
                          <a:prstGeom prst="rect">
                            <a:avLst/>
                          </a:prstGeom>
                          <a:ln w="6350">
                            <a:solidFill>
                              <a:srgbClr val="BFBFBF"/>
                            </a:solidFill>
                          </a:ln>
                        </pic:spPr>
                      </pic:pic>
                    </a:graphicData>
                  </a:graphic>
                </wp:inline>
              </w:drawing>
            </w:r>
          </w:p>
        </w:tc>
      </w:tr>
    </w:tbl>
    <w:p>
      <w:pPr>
        <w:pStyle w:val="Caption"/>
      </w:pPr>
      <w:r>
        <w:t xml:space="preserve">Step 19: Verify the document - desktop (left) and a 375 px phone (right).</w:t>
      </w:r>
    </w:p>
    <w:p>
      <w:pPr>
        <w:pStyle w:val="Heading1"/>
        <w:keepNext/>
      </w:pPr>
      <w:r>
        <w:t xml:space="preserve">3. Payment</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Item</w:t>
            </w:r>
          </w:p>
        </w:tc>
        <w:tc>
          <w:tcPr>
            <w:tcW w:w="6804" w:type="dxa"/>
          </w:tcPr>
          <w:p>
            <w:pPr>
              <w:pStyle w:val="TableText"/>
            </w:pPr>
            <w:r>
              <w:rPr>
                <w:b/>
                <w:bCs/>
              </w:rPr>
              <w:t xml:space="preserve">In the test run</w:t>
            </w:r>
          </w:p>
        </w:tc>
      </w:tr>
      <w:tr>
        <w:trPr>
          <w:cantSplit/>
        </w:trPr>
        <w:tc>
          <w:tcPr>
            <w:tcW w:w="2835" w:type="dxa"/>
          </w:tcPr>
          <w:p>
            <w:pPr>
              <w:pStyle w:val="TableText"/>
            </w:pPr>
            <w:r>
              <w:t xml:space="preserve">Fee (as published)</w:t>
            </w:r>
          </w:p>
        </w:tc>
        <w:tc>
          <w:tcPr>
            <w:tcW w:w="6804" w:type="dxa"/>
          </w:tcPr>
          <w:p>
            <w:pPr>
              <w:pStyle w:val="TableText"/>
            </w:pPr>
            <w:r>
              <w:t xml:space="preserve">Non-Commercial 1. 5 domestic animals or less ZMW 66.67 2. Consignment of animal products each 20 kgs ZMW 66.67 Commercial 1. Large ruminants (max 50 animals) ZMW 133.34 2. Small ruminants (max 400 animals) ZMW 133.34 3. Small animals (max 50 animals) ZMW 133.34 4. Poultry (max 100,000 birds) ZMW 133.34 5. Game/wild animal (max 50 animals) ZMW 133.34 6. Tortoise/ornamental fish (max 100 animals) ZMW 133.34 7. Livestock products and stock feed (max 34MT) ZMW 133.34 8. Semen and embryos per consignment ZMW 133.34 Control of Goods ACT Fee: Per 30 Metric Tonnes – ZMW 140</w:t>
            </w:r>
          </w:p>
        </w:tc>
      </w:tr>
      <w:tr>
        <w:trPr>
          <w:cantSplit/>
        </w:trPr>
        <w:tc>
          <w:tcPr>
            <w:tcW w:w="2835" w:type="dxa"/>
          </w:tcPr>
          <w:p>
            <w:pPr>
              <w:pStyle w:val="TableText"/>
            </w:pPr>
            <w:r>
              <w:t xml:space="preserve">Invoice 1</w:t>
            </w:r>
          </w:p>
        </w:tc>
        <w:tc>
          <w:tcPr>
            <w:tcW w:w="6804" w:type="dxa"/>
          </w:tcPr>
          <w:p>
            <w:pPr>
              <w:pStyle w:val="TableText"/>
            </w:pPr>
            <w:r>
              <w:t xml:space="preserve">5292799397606941</w:t>
            </w:r>
          </w:p>
        </w:tc>
      </w:tr>
      <w:tr>
        <w:trPr>
          <w:cantSplit/>
        </w:trPr>
        <w:tc>
          <w:tcPr>
            <w:tcW w:w="2835" w:type="dxa"/>
          </w:tcPr>
          <w:p>
            <w:pPr>
              <w:pStyle w:val="TableText"/>
            </w:pPr>
            <w:r>
              <w:t xml:space="preserve">Amount 1</w:t>
            </w:r>
          </w:p>
        </w:tc>
        <w:tc>
          <w:tcPr>
            <w:tcW w:w="6804" w:type="dxa"/>
          </w:tcPr>
          <w:p>
            <w:pPr>
              <w:pStyle w:val="TableText"/>
            </w:pPr>
            <w:r>
              <w:t xml:space="preserve">ZMW 66.67</w:t>
            </w:r>
          </w:p>
        </w:tc>
      </w:tr>
      <w:tr>
        <w:trPr>
          <w:cantSplit/>
        </w:trPr>
        <w:tc>
          <w:tcPr>
            <w:tcW w:w="2835" w:type="dxa"/>
          </w:tcPr>
          <w:p>
            <w:pPr>
              <w:pStyle w:val="TableText"/>
            </w:pPr>
            <w:r>
              <w:t xml:space="preserve">Paid at 1</w:t>
            </w:r>
          </w:p>
        </w:tc>
        <w:tc>
          <w:tcPr>
            <w:tcW w:w="6804" w:type="dxa"/>
          </w:tcPr>
          <w:p>
            <w:pPr>
              <w:pStyle w:val="TableText"/>
            </w:pPr>
            <w:r>
              <w:t xml:space="preserve">after "Generate Payment"</w:t>
            </w:r>
          </w:p>
        </w:tc>
      </w:tr>
    </w:tbl>
    <w:p>
      <w:pPr>
        <w:spacing w:before="160"/>
      </w:pPr>
      <w:r>
        <w:t xml:space="preserve">On screen: step 9 (Set the fee and raise the invoice), step 10 (See that the fee is due), step 11 (Pay with ZamPay), step 12 (Payment received) in section 2.</w:t>
      </w:r>
    </w:p>
    <w:p>
      <w:pPr>
        <w:pStyle w:val="Heading1"/>
        <w:keepNext/>
      </w:pPr>
      <w:r>
        <w:t xml:space="preserve">4. Output documents</w:t>
      </w:r>
    </w:p>
    <w:p>
      <w:pPr>
        <w:pStyle w:val="Heading2"/>
        <w:keepNext/>
      </w:pPr>
      <w:r>
        <w:t xml:space="preserve">CoGA Export Permit (sealed PDF)</w:t>
      </w:r>
    </w:p>
    <w:p>
      <w:r>
        <w:t xml:space="preserve">Issued when the case was approved, from the service's output configuration (service template MFL_CoGAExportPermit.docx), filled from the application and the decision, sealed with the platform's electronic seal and stored as the issued version. The holder downloads it from My permits; the verification page checks it.</w:t>
      </w:r>
    </w:p>
    <w:p>
      <w:pPr>
        <w:keepNext/>
        <w:spacing w:after="0"/>
        <w:jc w:val="center"/>
      </w:pPr>
      <w:r>
        <w:drawing>
          <wp:inline distT="0" distB="0" distL="0" distR="0">
            <wp:extent cx="4500000" cy="5822449"/>
            <wp:effectExtent l="0" t="0" r="0" b="0"/>
            <wp:docPr id="1032" name="img032.png" descr="CoGA Export Permit (sealed 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2" name="img032.png" descr="CoGA Export Permit (sealed PDF)"/>
                    <pic:cNvPicPr/>
                  </pic:nvPicPr>
                  <pic:blipFill>
                    <a:blip r:embed="rIdImg32"/>
                    <a:stretch>
                      <a:fillRect/>
                    </a:stretch>
                  </pic:blipFill>
                  <pic:spPr>
                    <a:xfrm>
                      <a:off x="0" y="0"/>
                      <a:ext cx="4500000" cy="5822449"/>
                    </a:xfrm>
                    <a:prstGeom prst="rect">
                      <a:avLst/>
                    </a:prstGeom>
                    <a:ln w="6350">
                      <a:solidFill>
                        <a:srgbClr val="BFBFBF"/>
                      </a:solidFill>
                    </a:ln>
                  </pic:spPr>
                </pic:pic>
              </a:graphicData>
            </a:graphic>
          </wp:inline>
        </w:drawing>
      </w:r>
    </w:p>
    <w:p>
      <w:pPr>
        <w:pStyle w:val="Caption"/>
      </w:pPr>
      <w:r>
        <w:t xml:space="preserve">CoGA Export Permit (sealed PDF) - first of 1 page, as issued in the test run.</w:t>
      </w:r>
    </w:p>
    <w:p>
      <w:pPr>
        <w:pStyle w:val="Heading3"/>
        <w:keepNext/>
      </w:pPr>
      <w:r>
        <w:t xml:space="preserve">Fields</w:t>
      </w:r>
    </w:p>
    <w:tbl>
      <w:tblPr>
        <w:tblStyle w:val="GSBTable"/>
        <w:tblW w:w="9639" w:type="dxa"/>
        <w:tblLayout w:type="fixed"/>
        <w:tblLook w:val="04A0" w:firstRow="1" w:lastRow="0" w:firstColumn="0" w:lastColumn="0" w:noHBand="0" w:noVBand="1"/>
      </w:tblPr>
      <w:tblGrid>
        <w:gridCol w:w="2835"/>
        <w:gridCol w:w="6804"/>
      </w:tblGrid>
      <w:tr>
        <w:trPr>
          <w:tblHeader/>
          <w:cantSplit/>
        </w:trPr>
        <w:tc>
          <w:tcPr>
            <w:tcW w:w="2835" w:type="dxa"/>
          </w:tcPr>
          <w:p>
            <w:pPr>
              <w:pStyle w:val="TableText"/>
            </w:pPr>
            <w:r>
              <w:rPr>
                <w:b/>
                <w:bCs/>
              </w:rPr>
              <w:t xml:space="preserve">Field</w:t>
            </w:r>
          </w:p>
        </w:tc>
        <w:tc>
          <w:tcPr>
            <w:tcW w:w="6804" w:type="dxa"/>
          </w:tcPr>
          <w:p>
            <w:pPr>
              <w:pStyle w:val="TableText"/>
            </w:pPr>
            <w:r>
              <w:rPr>
                <w:b/>
                <w:bCs/>
              </w:rPr>
              <w:t xml:space="preserve">Value in the test run</w:t>
            </w:r>
          </w:p>
        </w:tc>
      </w:tr>
      <w:tr>
        <w:trPr>
          <w:cantSplit/>
        </w:trPr>
        <w:tc>
          <w:tcPr>
            <w:tcW w:w="2835" w:type="dxa"/>
          </w:tcPr>
          <w:p>
            <w:pPr>
              <w:pStyle w:val="TableText"/>
            </w:pPr>
            <w:r>
              <w:t xml:space="preserve">Document title</w:t>
            </w:r>
          </w:p>
        </w:tc>
        <w:tc>
          <w:tcPr>
            <w:tcW w:w="6804" w:type="dxa"/>
          </w:tcPr>
          <w:p>
            <w:pPr>
              <w:pStyle w:val="TableText"/>
            </w:pPr>
            <w:r>
              <w:t xml:space="preserve">CoGA Export Permit</w:t>
            </w:r>
          </w:p>
        </w:tc>
      </w:tr>
      <w:tr>
        <w:trPr>
          <w:cantSplit/>
        </w:trPr>
        <w:tc>
          <w:tcPr>
            <w:tcW w:w="2835" w:type="dxa"/>
          </w:tcPr>
          <w:p>
            <w:pPr>
              <w:pStyle w:val="TableText"/>
            </w:pPr>
            <w:r>
              <w:t xml:space="preserve">Permit / licence number</w:t>
            </w:r>
          </w:p>
        </w:tc>
        <w:tc>
          <w:tcPr>
            <w:tcW w:w="6804" w:type="dxa"/>
          </w:tcPr>
          <w:p>
            <w:pPr>
              <w:pStyle w:val="TableText"/>
            </w:pPr>
            <w:r>
              <w:t xml:space="preserve">MFL-EPL-2026-00001</w:t>
            </w:r>
          </w:p>
        </w:tc>
      </w:tr>
      <w:tr>
        <w:trPr>
          <w:cantSplit/>
        </w:trPr>
        <w:tc>
          <w:tcPr>
            <w:tcW w:w="2835" w:type="dxa"/>
          </w:tcPr>
          <w:p>
            <w:pPr>
              <w:pStyle w:val="TableText"/>
            </w:pPr>
            <w:r>
              <w:t xml:space="preserve">Holder</w:t>
            </w:r>
          </w:p>
        </w:tc>
        <w:tc>
          <w:tcPr>
            <w:tcW w:w="6804" w:type="dxa"/>
          </w:tcPr>
          <w:p>
            <w:pPr>
              <w:pStyle w:val="TableText"/>
            </w:pPr>
            <w:r>
              <w:t xml:space="preserve">Chanda Mwila</w:t>
            </w:r>
          </w:p>
        </w:tc>
      </w:tr>
      <w:tr>
        <w:trPr>
          <w:cantSplit/>
        </w:trPr>
        <w:tc>
          <w:tcPr>
            <w:tcW w:w="2835" w:type="dxa"/>
          </w:tcPr>
          <w:p>
            <w:pPr>
              <w:pStyle w:val="TableText"/>
            </w:pPr>
            <w:r>
              <w:t xml:space="preserve">Valid from</w:t>
            </w:r>
          </w:p>
        </w:tc>
        <w:tc>
          <w:tcPr>
            <w:tcW w:w="6804" w:type="dxa"/>
          </w:tcPr>
          <w:p>
            <w:pPr>
              <w:pStyle w:val="TableText"/>
            </w:pPr>
            <w:r>
              <w:t xml:space="preserve">2026-10-21</w:t>
            </w:r>
          </w:p>
        </w:tc>
      </w:tr>
      <w:tr>
        <w:trPr>
          <w:cantSplit/>
        </w:trPr>
        <w:tc>
          <w:tcPr>
            <w:tcW w:w="2835" w:type="dxa"/>
          </w:tcPr>
          <w:p>
            <w:pPr>
              <w:pStyle w:val="TableText"/>
            </w:pPr>
            <w:r>
              <w:t xml:space="preserve">Valid until</w:t>
            </w:r>
          </w:p>
        </w:tc>
        <w:tc>
          <w:tcPr>
            <w:tcW w:w="6804" w:type="dxa"/>
          </w:tcPr>
          <w:p>
            <w:pPr>
              <w:pStyle w:val="TableText"/>
            </w:pPr>
            <w:r>
              <w:t xml:space="preserve">2026-11-20</w:t>
            </w:r>
          </w:p>
        </w:tc>
      </w:tr>
      <w:tr>
        <w:trPr>
          <w:cantSplit/>
        </w:trPr>
        <w:tc>
          <w:tcPr>
            <w:tcW w:w="2835" w:type="dxa"/>
          </w:tcPr>
          <w:p>
            <w:pPr>
              <w:pStyle w:val="TableText"/>
            </w:pPr>
            <w:r>
              <w:t xml:space="preserve">Status</w:t>
            </w:r>
          </w:p>
        </w:tc>
        <w:tc>
          <w:tcPr>
            <w:tcW w:w="6804" w:type="dxa"/>
          </w:tcPr>
          <w:p>
            <w:pPr>
              <w:pStyle w:val="TableText"/>
            </w:pPr>
            <w:r>
              <w:t xml:space="preserve">active</w:t>
            </w:r>
          </w:p>
        </w:tc>
      </w:tr>
      <w:tr>
        <w:trPr>
          <w:cantSplit/>
        </w:trPr>
        <w:tc>
          <w:tcPr>
            <w:tcW w:w="2835" w:type="dxa"/>
          </w:tcPr>
          <w:p>
            <w:pPr>
              <w:pStyle w:val="TableText"/>
            </w:pPr>
            <w:r>
              <w:t xml:space="preserve">Verification code (printed with a QR code)</w:t>
            </w:r>
          </w:p>
        </w:tc>
        <w:tc>
          <w:tcPr>
            <w:tcW w:w="6804" w:type="dxa"/>
          </w:tcPr>
          <w:p>
            <w:pPr>
              <w:pStyle w:val="TableText"/>
            </w:pPr>
            <w:r>
              <w:t xml:space="preserve">QJFL-AURX-4G</w:t>
            </w:r>
          </w:p>
        </w:tc>
      </w:tr>
    </w:tbl>
    <w:p>
      <w:pPr>
        <w:pStyle w:val="Heading3"/>
        <w:keepNext/>
      </w:pPr>
      <w:r>
        <w:t xml:space="preserve">Seal</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Seal status</w:t>
            </w:r>
          </w:p>
        </w:tc>
        <w:tc>
          <w:tcPr>
            <w:tcW w:w="7088" w:type="dxa"/>
          </w:tcPr>
          <w:p>
            <w:pPr>
              <w:pStyle w:val="TableText"/>
            </w:pPr>
            <w:r>
              <w:t xml:space="preserve">sealed</w:t>
            </w:r>
          </w:p>
        </w:tc>
      </w:tr>
      <w:tr>
        <w:trPr>
          <w:cantSplit/>
        </w:trPr>
        <w:tc>
          <w:tcPr>
            <w:tcW w:w="2552" w:type="dxa"/>
          </w:tcPr>
          <w:p>
            <w:pPr>
              <w:pStyle w:val="TableText"/>
            </w:pPr>
            <w:r>
              <w:rPr>
                <w:b/>
                <w:bCs/>
              </w:rPr>
              <w:t xml:space="preserve">Signature level</w:t>
            </w:r>
          </w:p>
        </w:tc>
        <w:tc>
          <w:tcPr>
            <w:tcW w:w="7088" w:type="dxa"/>
          </w:tcPr>
          <w:p>
            <w:pPr>
              <w:pStyle w:val="TableText"/>
            </w:pPr>
            <w:r>
              <w:t xml:space="preserve">PAdES-B-T</w:t>
            </w:r>
          </w:p>
        </w:tc>
      </w:tr>
      <w:tr>
        <w:trPr>
          <w:cantSplit/>
        </w:trPr>
        <w:tc>
          <w:tcPr>
            <w:tcW w:w="2552" w:type="dxa"/>
          </w:tcPr>
          <w:p>
            <w:pPr>
              <w:pStyle w:val="TableText"/>
            </w:pPr>
            <w:r>
              <w:rPr>
                <w:b/>
                <w:bCs/>
              </w:rPr>
              <w:t xml:space="preserve">Sealed by</w:t>
            </w:r>
          </w:p>
        </w:tc>
        <w:tc>
          <w:tcPr>
            <w:tcW w:w="7088" w:type="dxa"/>
          </w:tcPr>
          <w:p>
            <w:pPr>
              <w:pStyle w:val="TableText"/>
            </w:pPr>
            <w:r>
              <w:t xml:space="preserve">the platform seal (development key in the test run)</w:t>
            </w:r>
          </w:p>
        </w:tc>
      </w:tr>
      <w:tr>
        <w:trPr>
          <w:cantSplit/>
        </w:trPr>
        <w:tc>
          <w:tcPr>
            <w:tcW w:w="2552" w:type="dxa"/>
          </w:tcPr>
          <w:p>
            <w:pPr>
              <w:pStyle w:val="TableText"/>
            </w:pPr>
            <w:r>
              <w:rPr>
                <w:b/>
                <w:bCs/>
              </w:rPr>
              <w:t xml:space="preserve">Signed at</w:t>
            </w:r>
          </w:p>
        </w:tc>
        <w:tc>
          <w:tcPr>
            <w:tcW w:w="7088" w:type="dxa"/>
          </w:tcPr>
          <w:p>
            <w:pPr>
              <w:pStyle w:val="TableText"/>
            </w:pPr>
            <w:r>
              <w:t xml:space="preserve">2026-10-21T05:42:43.558Z</w:t>
            </w:r>
          </w:p>
        </w:tc>
      </w:tr>
      <w:tr>
        <w:trPr>
          <w:cantSplit/>
        </w:trPr>
        <w:tc>
          <w:tcPr>
            <w:tcW w:w="2552" w:type="dxa"/>
          </w:tcPr>
          <w:p>
            <w:pPr>
              <w:pStyle w:val="TableText"/>
            </w:pPr>
            <w:r>
              <w:rPr>
                <w:b/>
                <w:bCs/>
              </w:rPr>
              <w:t xml:space="preserve">Trusted time-stamp</w:t>
            </w:r>
          </w:p>
        </w:tc>
        <w:tc>
          <w:tcPr>
            <w:tcW w:w="7088" w:type="dxa"/>
          </w:tcPr>
          <w:p>
            <w:pPr>
              <w:pStyle w:val="TableText"/>
            </w:pPr>
            <w:r>
              <w:t xml:space="preserve">2026-10-21T05:42:43.531Z (time-stamping authority)</w:t>
            </w:r>
          </w:p>
        </w:tc>
      </w:tr>
      <w:tr>
        <w:trPr>
          <w:cantSplit/>
        </w:trPr>
        <w:tc>
          <w:tcPr>
            <w:tcW w:w="2552" w:type="dxa"/>
          </w:tcPr>
          <w:p>
            <w:pPr>
              <w:pStyle w:val="TableText"/>
            </w:pPr>
            <w:r>
              <w:rPr>
                <w:b/>
                <w:bCs/>
              </w:rPr>
              <w:t xml:space="preserve">Document fingerprint (SHA-256)</w:t>
            </w:r>
          </w:p>
        </w:tc>
        <w:tc>
          <w:tcPr>
            <w:tcW w:w="7088" w:type="dxa"/>
          </w:tcPr>
          <w:p>
            <w:pPr>
              <w:pStyle w:val="TableText"/>
            </w:pPr>
            <w:r>
              <w:t xml:space="preserve">a4ba10bdec0899e9...</w:t>
            </w:r>
          </w:p>
        </w:tc>
      </w:tr>
    </w:tbl>
    <w:p>
      <w:pPr>
        <w:pStyle w:val="Heading3"/>
        <w:keepNext/>
      </w:pPr>
      <w:r>
        <w:t xml:space="preserve">Verification</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Where</w:t>
            </w:r>
          </w:p>
        </w:tc>
        <w:tc>
          <w:tcPr>
            <w:tcW w:w="7088" w:type="dxa"/>
          </w:tcPr>
          <w:p>
            <w:pPr>
              <w:pStyle w:val="TableText"/>
            </w:pPr>
            <w:r>
              <w:t xml:space="preserve">The public verification page of the national portal, &lt;portal&gt;/verify/&lt;verification code&gt;, opened by scanning the QR code on the document.</w:t>
            </w:r>
          </w:p>
        </w:tc>
      </w:tr>
      <w:tr>
        <w:trPr>
          <w:cantSplit/>
        </w:trPr>
        <w:tc>
          <w:tcPr>
            <w:tcW w:w="2552" w:type="dxa"/>
          </w:tcPr>
          <w:p>
            <w:pPr>
              <w:pStyle w:val="TableText"/>
            </w:pPr>
            <w:r>
              <w:rPr>
                <w:b/>
                <w:bCs/>
              </w:rPr>
              <w:t xml:space="preserve">What it shows</w:t>
            </w:r>
          </w:p>
        </w:tc>
        <w:tc>
          <w:tcPr>
            <w:tcW w:w="7088" w:type="dxa"/>
          </w:tcPr>
          <w:p>
            <w:pPr>
              <w:pStyle w:val="TableText"/>
            </w:pPr>
            <w:r>
              <w:t xml:space="preserve">Whether the document is genuine and current, its holder and validity, and whether the electronic seal is valid and who sealed it.</w:t>
            </w:r>
          </w:p>
        </w:tc>
      </w:tr>
      <w:tr>
        <w:trPr>
          <w:cantSplit/>
        </w:trPr>
        <w:tc>
          <w:tcPr>
            <w:tcW w:w="2552" w:type="dxa"/>
          </w:tcPr>
          <w:p>
            <w:pPr>
              <w:pStyle w:val="TableText"/>
            </w:pPr>
            <w:r>
              <w:rPr>
                <w:b/>
                <w:bCs/>
              </w:rPr>
              <w:t xml:space="preserve">Checking a copy</w:t>
            </w:r>
          </w:p>
        </w:tc>
        <w:tc>
          <w:tcPr>
            <w:tcW w:w="7088" w:type="dxa"/>
          </w:tcPr>
          <w:p>
            <w:pPr>
              <w:pStyle w:val="TableText"/>
            </w:pPr>
            <w:r>
              <w:t xml:space="preserve">Anyone can upload a PDF they were given; the page says whether it is exactly the document that was issued. A changed copy is reported as not matching.</w:t>
            </w:r>
          </w:p>
        </w:tc>
      </w:tr>
    </w:tbl>
    <w:p>
      <w:pPr>
        <w:spacing w:before="160"/>
      </w:pPr>
      <w:r>
        <w:t xml:space="preserve">On screen: step 18 (The document in My permits), step 19 (Verify the document) in section 2.</w:t>
      </w:r>
    </w:p>
    <w:p>
      <w:pPr>
        <w:pStyle w:val="Heading1"/>
        <w:keepNext/>
      </w:pPr>
      <w:r>
        <w:t xml:space="preserve">5. Notifications</w:t>
      </w:r>
    </w:p>
    <w:tbl>
      <w:tblPr>
        <w:tblStyle w:val="GSBTable"/>
        <w:tblW w:w="9639" w:type="dxa"/>
        <w:tblLayout w:type="fixed"/>
        <w:tblLook w:val="04A0" w:firstRow="1" w:lastRow="0" w:firstColumn="0" w:lastColumn="0" w:noHBand="0" w:noVBand="1"/>
      </w:tblPr>
      <w:tblGrid>
        <w:gridCol w:w="1928"/>
        <w:gridCol w:w="907"/>
        <w:gridCol w:w="1474"/>
        <w:gridCol w:w="4082"/>
        <w:gridCol w:w="1247"/>
      </w:tblGrid>
      <w:tr>
        <w:trPr>
          <w:tblHeader/>
          <w:cantSplit/>
        </w:trPr>
        <w:tc>
          <w:tcPr>
            <w:tcW w:w="1928" w:type="dxa"/>
          </w:tcPr>
          <w:p>
            <w:pPr>
              <w:pStyle w:val="TableText"/>
            </w:pPr>
            <w:r>
              <w:rPr>
                <w:b/>
                <w:bCs/>
              </w:rPr>
              <w:t xml:space="preserve">When</w:t>
            </w:r>
          </w:p>
        </w:tc>
        <w:tc>
          <w:tcPr>
            <w:tcW w:w="907" w:type="dxa"/>
          </w:tcPr>
          <w:p>
            <w:pPr>
              <w:pStyle w:val="TableText"/>
            </w:pPr>
            <w:r>
              <w:rPr>
                <w:b/>
                <w:bCs/>
              </w:rPr>
              <w:t xml:space="preserve">Channel</w:t>
            </w:r>
          </w:p>
        </w:tc>
        <w:tc>
          <w:tcPr>
            <w:tcW w:w="1474" w:type="dxa"/>
          </w:tcPr>
          <w:p>
            <w:pPr>
              <w:pStyle w:val="TableText"/>
            </w:pPr>
            <w:r>
              <w:rPr>
                <w:b/>
                <w:bCs/>
              </w:rPr>
              <w:t xml:space="preserve">To</w:t>
            </w:r>
          </w:p>
        </w:tc>
        <w:tc>
          <w:tcPr>
            <w:tcW w:w="4082" w:type="dxa"/>
          </w:tcPr>
          <w:p>
            <w:pPr>
              <w:pStyle w:val="TableText"/>
            </w:pPr>
            <w:r>
              <w:rPr>
                <w:b/>
                <w:bCs/>
              </w:rPr>
              <w:t xml:space="preserve">Message</w:t>
            </w:r>
          </w:p>
        </w:tc>
        <w:tc>
          <w:tcPr>
            <w:tcW w:w="1247" w:type="dxa"/>
          </w:tcPr>
          <w:p>
            <w:pPr>
              <w:pStyle w:val="TableText"/>
            </w:pPr>
            <w:r>
              <w:rPr>
                <w:b/>
                <w:bCs/>
              </w:rPr>
              <w:t xml:space="preserve">Delivery</w:t>
            </w:r>
          </w:p>
        </w:tc>
      </w:tr>
      <w:tr>
        <w:trPr>
          <w:cantSplit/>
        </w:trPr>
        <w:tc>
          <w:tcPr>
            <w:tcW w:w="1928" w:type="dxa"/>
          </w:tcPr>
          <w:p>
            <w:pPr>
              <w:pStyle w:val="TableText"/>
            </w:pPr>
            <w:r>
              <w:t xml:space="preserve">Application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MFL-EPL/00001/10-21-26 received - Your application MFL-EPL/00001/10-21-26 for Export Permit for Livestock has been received by Department of Fisheries and Livestock Marketing.</w:t>
            </w:r>
          </w:p>
        </w:tc>
        <w:tc>
          <w:tcPr>
            <w:tcW w:w="1247" w:type="dxa"/>
          </w:tcPr>
          <w:p>
            <w:pPr>
              <w:pStyle w:val="TableText"/>
            </w:pPr>
            <w:r>
              <w:t xml:space="preserve">shown</w:t>
            </w:r>
          </w:p>
        </w:tc>
      </w:tr>
      <w:tr>
        <w:trPr>
          <w:cantSplit/>
        </w:trPr>
        <w:tc>
          <w:tcPr>
            <w:tcW w:w="1928" w:type="dxa"/>
          </w:tcPr>
          <w:p>
            <w:pPr>
              <w:pStyle w:val="TableText"/>
            </w:pPr>
            <w:r>
              <w:t xml:space="preserve">Status changed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Update on application MFL-EPL/00001/10-21-26 - MFL-EPL/00001/10-21-26 (Export Permit for Livestock) is now: With the office - fees being worked out.</w:t>
            </w:r>
          </w:p>
        </w:tc>
        <w:tc>
          <w:tcPr>
            <w:tcW w:w="1247" w:type="dxa"/>
          </w:tcPr>
          <w:p>
            <w:pPr>
              <w:pStyle w:val="TableText"/>
            </w:pPr>
            <w:r>
              <w:t xml:space="preserve">shown</w:t>
            </w:r>
          </w:p>
        </w:tc>
      </w:tr>
      <w:tr>
        <w:trPr>
          <w:cantSplit/>
        </w:trPr>
        <w:tc>
          <w:tcPr>
            <w:tcW w:w="1928" w:type="dxa"/>
          </w:tcPr>
          <w:p>
            <w:pPr>
              <w:pStyle w:val="TableText"/>
            </w:pPr>
            <w:r>
              <w:t xml:space="preserve">Payment due (invoice raised)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Payment due for application MFL-EPL/00001/10-21-26 - The fee of ZMW 66.67 for Export Permit for Livestock (MFL-EPL/00001/10-21-26) is now due. Invoice 5292799397606941.</w:t>
            </w:r>
          </w:p>
        </w:tc>
        <w:tc>
          <w:tcPr>
            <w:tcW w:w="1247" w:type="dxa"/>
          </w:tcPr>
          <w:p>
            <w:pPr>
              <w:pStyle w:val="TableText"/>
            </w:pPr>
            <w:r>
              <w:t xml:space="preserve">shown</w:t>
            </w:r>
          </w:p>
        </w:tc>
      </w:tr>
      <w:tr>
        <w:trPr>
          <w:cantSplit/>
        </w:trPr>
        <w:tc>
          <w:tcPr>
            <w:tcW w:w="1928" w:type="dxa"/>
          </w:tcPr>
          <w:p>
            <w:pPr>
              <w:pStyle w:val="TableText"/>
            </w:pPr>
            <w:r>
              <w:t xml:space="preserve">Payment received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Payment received for MFL-EPL/00001/10-21-26 - Your payment of ZMW 66.67 for MFL-EPL/00001/10-21-26 (Export Permit for Livestock) has been received. Receipt: &lt;ZamPay&gt;/pdf?documentType=receipt&amp;invoiceNumber=5292799397606941</w:t>
            </w:r>
          </w:p>
        </w:tc>
        <w:tc>
          <w:tcPr>
            <w:tcW w:w="1247" w:type="dxa"/>
          </w:tcPr>
          <w:p>
            <w:pPr>
              <w:pStyle w:val="TableText"/>
            </w:pPr>
            <w:r>
              <w:t xml:space="preserve">shown</w:t>
            </w:r>
          </w:p>
        </w:tc>
      </w:tr>
      <w:tr>
        <w:trPr>
          <w:cantSplit/>
        </w:trPr>
        <w:tc>
          <w:tcPr>
            <w:tcW w:w="1928" w:type="dxa"/>
          </w:tcPr>
          <w:p>
            <w:pPr>
              <w:pStyle w:val="TableText"/>
            </w:pPr>
            <w:r>
              <w:t xml:space="preserve">case.approved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MFL-EPL/00001/10-21-26 approved - MFL-EPL/00001/10-21-26 (Export Permit for Livestock) has been approved.</w:t>
            </w:r>
          </w:p>
        </w:tc>
        <w:tc>
          <w:tcPr>
            <w:tcW w:w="1247" w:type="dxa"/>
          </w:tcPr>
          <w:p>
            <w:pPr>
              <w:pStyle w:val="TableText"/>
            </w:pPr>
            <w:r>
              <w:t xml:space="preserve">shown</w:t>
            </w:r>
          </w:p>
        </w:tc>
      </w:tr>
      <w:tr>
        <w:trPr>
          <w:cantSplit/>
        </w:trPr>
        <w:tc>
          <w:tcPr>
            <w:tcW w:w="1928" w:type="dxa"/>
          </w:tcPr>
          <w:p>
            <w:pPr>
              <w:pStyle w:val="TableText"/>
            </w:pPr>
            <w:r>
              <w:t xml:space="preserve">Licence / permit issued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Your Export Permit for Livestock document has been issued - MFL-EPL-2026-00001 has been issued for Export Permit for Livestock and is valid until 20/11/2026.</w:t>
            </w:r>
          </w:p>
        </w:tc>
        <w:tc>
          <w:tcPr>
            <w:tcW w:w="1247" w:type="dxa"/>
          </w:tcPr>
          <w:p>
            <w:pPr>
              <w:pStyle w:val="TableText"/>
            </w:pPr>
            <w:r>
              <w:t xml:space="preserve">shown</w:t>
            </w:r>
          </w:p>
        </w:tc>
      </w:tr>
      <w:tr>
        <w:trPr>
          <w:cantSplit/>
        </w:trPr>
        <w:tc>
          <w:tcPr>
            <w:tcW w:w="1928" w:type="dxa"/>
          </w:tcPr>
          <w:p>
            <w:pPr>
              <w:pStyle w:val="TableText"/>
            </w:pPr>
            <w:r>
              <w:t xml:space="preserve">Invitation to rate the service</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How was Export Permit for Livestock? - How was Export Permit for Livestock? Tell us in about a minute.</w:t>
            </w:r>
          </w:p>
        </w:tc>
        <w:tc>
          <w:tcPr>
            <w:tcW w:w="1247" w:type="dxa"/>
          </w:tcPr>
          <w:p>
            <w:pPr>
              <w:pStyle w:val="TableText"/>
            </w:pPr>
            <w:r>
              <w:t xml:space="preserve">shown</w:t>
            </w:r>
          </w:p>
        </w:tc>
      </w:tr>
      <w:tr>
        <w:trPr>
          <w:cantSplit/>
        </w:trPr>
        <w:tc>
          <w:tcPr>
            <w:tcW w:w="1928" w:type="dxa"/>
          </w:tcPr>
          <w:p>
            <w:pPr>
              <w:pStyle w:val="TableText"/>
            </w:pPr>
            <w:r>
              <w:t xml:space="preserve">Decision: approved</w:t>
            </w:r>
          </w:p>
        </w:tc>
        <w:tc>
          <w:tcPr>
            <w:tcW w:w="907" w:type="dxa"/>
          </w:tcPr>
          <w:p>
            <w:pPr>
              <w:pStyle w:val="TableText"/>
            </w:pPr>
            <w:r>
              <w:t xml:space="preserve">in-app (portal bell)</w:t>
            </w:r>
          </w:p>
        </w:tc>
        <w:tc>
          <w:tcPr>
            <w:tcW w:w="1474" w:type="dxa"/>
          </w:tcPr>
          <w:p>
            <w:pPr>
              <w:pStyle w:val="TableText"/>
            </w:pPr>
            <w:r>
              <w:t xml:space="preserve">the applicant</w:t>
            </w:r>
          </w:p>
        </w:tc>
        <w:tc>
          <w:tcPr>
            <w:tcW w:w="4082" w:type="dxa"/>
          </w:tcPr>
          <w:p>
            <w:pPr>
              <w:pStyle w:val="TableText"/>
            </w:pPr>
            <w:r>
              <w:t xml:space="preserve">Application MFL-EPL/00001/10-21-26 completed - MFL-EPL/00001/10-21-26 (Export Permit for Livestock) is complete. Your documents are ready.</w:t>
            </w:r>
          </w:p>
        </w:tc>
        <w:tc>
          <w:tcPr>
            <w:tcW w:w="1247" w:type="dxa"/>
          </w:tcPr>
          <w:p>
            <w:pPr>
              <w:pStyle w:val="TableText"/>
            </w:pPr>
            <w:r>
              <w:t xml:space="preserve">shown</w:t>
            </w:r>
          </w:p>
        </w:tc>
      </w:tr>
      <w:tr>
        <w:trPr>
          <w:cantSplit/>
        </w:trPr>
        <w:tc>
          <w:tcPr>
            <w:tcW w:w="1928" w:type="dxa"/>
          </w:tcPr>
          <w:p>
            <w:pPr>
              <w:pStyle w:val="TableText"/>
            </w:pPr>
            <w:r>
              <w:t xml:space="preserve">Application received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MFL-EPL/00001/10-21-26 received</w:t>
            </w:r>
          </w:p>
        </w:tc>
        <w:tc>
          <w:tcPr>
            <w:tcW w:w="1247" w:type="dxa"/>
          </w:tcPr>
          <w:p>
            <w:pPr>
              <w:pStyle w:val="TableText"/>
            </w:pPr>
            <w:r>
              <w:t xml:space="preserve">skipped</w:t>
            </w:r>
          </w:p>
        </w:tc>
      </w:tr>
      <w:tr>
        <w:trPr>
          <w:cantSplit/>
        </w:trPr>
        <w:tc>
          <w:tcPr>
            <w:tcW w:w="1928" w:type="dxa"/>
          </w:tcPr>
          <w:p>
            <w:pPr>
              <w:pStyle w:val="TableText"/>
            </w:pPr>
            <w:r>
              <w:t xml:space="preserve">Application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Application MFL-EPL/00001/10-21-26 for Export Permit for Livestock has been received. Track it: &lt;portal&gt;/my-workplace</w:t>
            </w:r>
          </w:p>
        </w:tc>
        <w:tc>
          <w:tcPr>
            <w:tcW w:w="1247" w:type="dxa"/>
          </w:tcPr>
          <w:p>
            <w:pPr>
              <w:pStyle w:val="TableText"/>
            </w:pPr>
            <w:r>
              <w:t xml:space="preserve">delivered</w:t>
            </w:r>
          </w:p>
        </w:tc>
      </w:tr>
      <w:tr>
        <w:trPr>
          <w:cantSplit/>
        </w:trPr>
        <w:tc>
          <w:tcPr>
            <w:tcW w:w="1928" w:type="dxa"/>
          </w:tcPr>
          <w:p>
            <w:pPr>
              <w:pStyle w:val="TableText"/>
            </w:pPr>
            <w:r>
              <w:t xml:space="preserve">Status changed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Payment due (invoice raised)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Payment due for application MFL-EPL/00001/10-21-26</w:t>
            </w:r>
          </w:p>
        </w:tc>
        <w:tc>
          <w:tcPr>
            <w:tcW w:w="1247" w:type="dxa"/>
          </w:tcPr>
          <w:p>
            <w:pPr>
              <w:pStyle w:val="TableText"/>
            </w:pPr>
            <w:r>
              <w:t xml:space="preserve">skipped</w:t>
            </w:r>
          </w:p>
        </w:tc>
      </w:tr>
      <w:tr>
        <w:trPr>
          <w:cantSplit/>
        </w:trPr>
        <w:tc>
          <w:tcPr>
            <w:tcW w:w="1928" w:type="dxa"/>
          </w:tcPr>
          <w:p>
            <w:pPr>
              <w:pStyle w:val="TableText"/>
            </w:pPr>
            <w:r>
              <w:t xml:space="preserve">Payment due (invoice raised)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Fee of ZMW 66.67 due for MFL-EPL/00001/10-21-26. Invoice 5292799397606941. Pay: &lt;ZamPay&gt;/pay-for-service/get-invoice/5292799397606941</w:t>
            </w:r>
          </w:p>
        </w:tc>
        <w:tc>
          <w:tcPr>
            <w:tcW w:w="1247" w:type="dxa"/>
          </w:tcPr>
          <w:p>
            <w:pPr>
              <w:pStyle w:val="TableText"/>
            </w:pPr>
            <w:r>
              <w:t xml:space="preserve">delivered</w:t>
            </w:r>
          </w:p>
        </w:tc>
      </w:tr>
      <w:tr>
        <w:trPr>
          <w:cantSplit/>
        </w:trPr>
        <w:tc>
          <w:tcPr>
            <w:tcW w:w="1928" w:type="dxa"/>
          </w:tcPr>
          <w:p>
            <w:pPr>
              <w:pStyle w:val="TableText"/>
            </w:pPr>
            <w:r>
              <w:t xml:space="preserve">Payment received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case.approved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MFL-EPL/00001/10-21-26 approved</w:t>
            </w:r>
          </w:p>
        </w:tc>
        <w:tc>
          <w:tcPr>
            <w:tcW w:w="1247" w:type="dxa"/>
          </w:tcPr>
          <w:p>
            <w:pPr>
              <w:pStyle w:val="TableText"/>
            </w:pPr>
            <w:r>
              <w:t xml:space="preserve">skipped</w:t>
            </w:r>
          </w:p>
        </w:tc>
      </w:tr>
      <w:tr>
        <w:trPr>
          <w:cantSplit/>
        </w:trPr>
        <w:tc>
          <w:tcPr>
            <w:tcW w:w="1928" w:type="dxa"/>
          </w:tcPr>
          <w:p>
            <w:pPr>
              <w:pStyle w:val="TableText"/>
            </w:pPr>
            <w:r>
              <w:t xml:space="preserve">case.approved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Invitation to rate the service</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skipped</w:t>
            </w:r>
          </w:p>
        </w:tc>
      </w:tr>
      <w:tr>
        <w:trPr>
          <w:cantSplit/>
        </w:trPr>
        <w:tc>
          <w:tcPr>
            <w:tcW w:w="1928" w:type="dxa"/>
          </w:tcPr>
          <w:p>
            <w:pPr>
              <w:pStyle w:val="TableText"/>
            </w:pPr>
            <w:r>
              <w:t xml:space="preserve">Licence / permit issued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Your Export Permit for Livestock document has been issued</w:t>
            </w:r>
          </w:p>
        </w:tc>
        <w:tc>
          <w:tcPr>
            <w:tcW w:w="1247" w:type="dxa"/>
          </w:tcPr>
          <w:p>
            <w:pPr>
              <w:pStyle w:val="TableText"/>
            </w:pPr>
            <w:r>
              <w:t xml:space="preserve">skipped</w:t>
            </w:r>
          </w:p>
        </w:tc>
      </w:tr>
      <w:tr>
        <w:trPr>
          <w:cantSplit/>
        </w:trPr>
        <w:tc>
          <w:tcPr>
            <w:tcW w:w="1928" w:type="dxa"/>
          </w:tcPr>
          <w:p>
            <w:pPr>
              <w:pStyle w:val="TableText"/>
            </w:pPr>
            <w:r>
              <w:t xml:space="preserve">Invitation to rate the service</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How was Export Permit for Livestock?</w:t>
            </w:r>
          </w:p>
        </w:tc>
        <w:tc>
          <w:tcPr>
            <w:tcW w:w="1247" w:type="dxa"/>
          </w:tcPr>
          <w:p>
            <w:pPr>
              <w:pStyle w:val="TableText"/>
            </w:pPr>
            <w:r>
              <w:t xml:space="preserve">skipped</w:t>
            </w:r>
          </w:p>
        </w:tc>
      </w:tr>
      <w:tr>
        <w:trPr>
          <w:cantSplit/>
        </w:trPr>
        <w:tc>
          <w:tcPr>
            <w:tcW w:w="1928" w:type="dxa"/>
          </w:tcPr>
          <w:p>
            <w:pPr>
              <w:pStyle w:val="TableText"/>
            </w:pPr>
            <w:r>
              <w:t xml:space="preserve">Decision: approved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r>
        <w:trPr>
          <w:cantSplit/>
        </w:trPr>
        <w:tc>
          <w:tcPr>
            <w:tcW w:w="1928" w:type="dxa"/>
          </w:tcPr>
          <w:p>
            <w:pPr>
              <w:pStyle w:val="TableText"/>
            </w:pPr>
            <w:r>
              <w:t xml:space="preserve">Decision: approved</w:t>
            </w:r>
          </w:p>
        </w:tc>
        <w:tc>
          <w:tcPr>
            <w:tcW w:w="907" w:type="dxa"/>
          </w:tcPr>
          <w:p>
            <w:pPr>
              <w:pStyle w:val="TableText"/>
            </w:pPr>
            <w:r>
              <w:t xml:space="preserve">email</w:t>
            </w:r>
          </w:p>
        </w:tc>
        <w:tc>
          <w:tcPr>
            <w:tcW w:w="1474" w:type="dxa"/>
          </w:tcPr>
          <w:p>
            <w:pPr>
              <w:pStyle w:val="TableText"/>
            </w:pPr>
            <w:r>
              <w:t xml:space="preserve">e2e.c***@example.test</w:t>
            </w:r>
          </w:p>
        </w:tc>
        <w:tc>
          <w:tcPr>
            <w:tcW w:w="4082" w:type="dxa"/>
          </w:tcPr>
          <w:p>
            <w:pPr>
              <w:pStyle w:val="TableText"/>
            </w:pPr>
            <w:r>
              <w:t xml:space="preserve">Application MFL-EPL/00001/10-21-26 completed</w:t>
            </w:r>
          </w:p>
        </w:tc>
        <w:tc>
          <w:tcPr>
            <w:tcW w:w="1247" w:type="dxa"/>
          </w:tcPr>
          <w:p>
            <w:pPr>
              <w:pStyle w:val="TableText"/>
            </w:pPr>
            <w:r>
              <w:t xml:space="preserve">skipped</w:t>
            </w:r>
          </w:p>
        </w:tc>
      </w:tr>
      <w:tr>
        <w:trPr>
          <w:cantSplit/>
        </w:trPr>
        <w:tc>
          <w:tcPr>
            <w:tcW w:w="1928" w:type="dxa"/>
          </w:tcPr>
          <w:p>
            <w:pPr>
              <w:pStyle w:val="TableText"/>
            </w:pPr>
            <w:r>
              <w:t xml:space="preserve">Licence / permit issued</w:t>
            </w:r>
          </w:p>
        </w:tc>
        <w:tc>
          <w:tcPr>
            <w:tcW w:w="907" w:type="dxa"/>
          </w:tcPr>
          <w:p>
            <w:pPr>
              <w:pStyle w:val="TableText"/>
            </w:pPr>
            <w:r>
              <w:t xml:space="preserve">sms</w:t>
            </w:r>
          </w:p>
        </w:tc>
        <w:tc>
          <w:tcPr>
            <w:tcW w:w="1474" w:type="dxa"/>
          </w:tcPr>
          <w:p>
            <w:pPr>
              <w:pStyle w:val="TableText"/>
            </w:pPr>
            <w:r>
              <w:t xml:space="preserve">+260 97* *** 567</w:t>
            </w:r>
          </w:p>
        </w:tc>
        <w:tc>
          <w:tcPr>
            <w:tcW w:w="4082" w:type="dxa"/>
          </w:tcPr>
          <w:p>
            <w:pPr>
              <w:pStyle w:val="TableText"/>
            </w:pPr>
            <w:r>
              <w:t xml:space="preserve"/>
            </w:r>
          </w:p>
        </w:tc>
        <w:tc>
          <w:tcPr>
            <w:tcW w:w="1247" w:type="dxa"/>
          </w:tcPr>
          <w:p>
            <w:pPr>
              <w:pStyle w:val="TableText"/>
            </w:pPr>
            <w:r>
              <w:t xml:space="preserve">delivered</w:t>
            </w:r>
          </w:p>
        </w:tc>
      </w:tr>
    </w:tbl>
    <w:p>
      <w:pPr>
        <w:pStyle w:val="Note"/>
      </w:pPr>
      <w:r>
        <w:t xml:space="preserve">Delivery: shown = in the portal's notification bell; delivered = the SMS gateway (a test double in this run) reported the text delivered; skipped = not sent on that channel (e-mail is not configured on the test installation, and some notices go out on one channel only); sent by the national portal = a ministry node handed the notice to the national portal, which texts and e-mails the citizen under its own name and the citizen's preferences. Addresses written &lt;portal&gt;, &lt;ZamPay&gt; stand for the national portal and ZamPay.</w:t>
      </w:r>
    </w:p>
    <w:p>
      <w:pPr>
        <w:pStyle w:val="Heading1"/>
        <w:keepNext/>
      </w:pPr>
      <w:r>
        <w:t xml:space="preserve">6. Legacy mapping</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Replaces</w:t>
            </w:r>
          </w:p>
        </w:tc>
        <w:tc>
          <w:tcPr>
            <w:tcW w:w="7088" w:type="dxa"/>
          </w:tcPr>
          <w:p>
            <w:pPr>
              <w:pStyle w:val="TableText"/>
            </w:pPr>
            <w:r>
              <w:t xml:space="preserve">Export Permit for Livestock in the legacy ZIGS e-Services directory (ZIGS_Services)</w:t>
            </w:r>
          </w:p>
        </w:tc>
      </w:tr>
      <w:tr>
        <w:trPr>
          <w:cantSplit/>
        </w:trPr>
        <w:tc>
          <w:tcPr>
            <w:tcW w:w="2552" w:type="dxa"/>
          </w:tcPr>
          <w:p>
            <w:pPr>
              <w:pStyle w:val="TableText"/>
            </w:pPr>
            <w:r>
              <w:rPr>
                <w:b/>
                <w:bCs/>
              </w:rPr>
              <w:t xml:space="preserve">Legacy service id</w:t>
            </w:r>
          </w:p>
        </w:tc>
        <w:tc>
          <w:tcPr>
            <w:tcW w:w="7088" w:type="dxa"/>
          </w:tcPr>
          <w:p>
            <w:pPr>
              <w:pStyle w:val="TableText"/>
            </w:pPr>
            <w:r>
              <w:t xml:space="preserve">374</w:t>
            </w:r>
          </w:p>
        </w:tc>
      </w:tr>
      <w:tr>
        <w:trPr>
          <w:cantSplit/>
        </w:trPr>
        <w:tc>
          <w:tcPr>
            <w:tcW w:w="2552" w:type="dxa"/>
          </w:tcPr>
          <w:p>
            <w:pPr>
              <w:pStyle w:val="TableText"/>
            </w:pPr>
            <w:r>
              <w:rPr>
                <w:b/>
                <w:bCs/>
              </w:rPr>
              <w:t xml:space="preserve">Legacy provider</w:t>
            </w:r>
          </w:p>
        </w:tc>
        <w:tc>
          <w:tcPr>
            <w:tcW w:w="7088" w:type="dxa"/>
          </w:tcPr>
          <w:p>
            <w:pPr>
              <w:pStyle w:val="TableText"/>
            </w:pPr>
            <w:r>
              <w:t xml:space="preserve">Department of Fisheries and Livestock Marketing (MFL) under Ministry of Fisheries and Livestock</w:t>
            </w:r>
          </w:p>
        </w:tc>
      </w:tr>
      <w:tr>
        <w:trPr>
          <w:cantSplit/>
        </w:trPr>
        <w:tc>
          <w:tcPr>
            <w:tcW w:w="2552" w:type="dxa"/>
          </w:tcPr>
          <w:p>
            <w:pPr>
              <w:pStyle w:val="TableText"/>
            </w:pPr>
            <w:r>
              <w:rPr>
                <w:b/>
                <w:bCs/>
              </w:rPr>
              <w:t xml:space="preserve">Legacy process</w:t>
            </w:r>
          </w:p>
        </w:tc>
        <w:tc>
          <w:tcPr>
            <w:tcW w:w="7088" w:type="dxa"/>
          </w:tcPr>
          <w:p>
            <w:pPr>
              <w:pStyle w:val="TableText"/>
            </w:pPr>
            <w:r>
              <w:t xml:space="preserve">LicenseReview (process 9)</w:t>
            </w:r>
          </w:p>
        </w:tc>
      </w:tr>
      <w:tr>
        <w:trPr>
          <w:cantSplit/>
        </w:trPr>
        <w:tc>
          <w:tcPr>
            <w:tcW w:w="2552" w:type="dxa"/>
          </w:tcPr>
          <w:p>
            <w:pPr>
              <w:pStyle w:val="TableText"/>
            </w:pPr>
            <w:r>
              <w:rPr>
                <w:b/>
                <w:bCs/>
              </w:rPr>
              <w:t xml:space="preserve">Fee in the legacy system</w:t>
            </w:r>
          </w:p>
        </w:tc>
        <w:tc>
          <w:tcPr>
            <w:tcW w:w="7088" w:type="dxa"/>
          </w:tcPr>
          <w:p>
            <w:pPr>
              <w:pStyle w:val="TableText"/>
            </w:pPr>
            <w:r>
              <w:t xml:space="preserve">none</w:t>
            </w:r>
          </w:p>
        </w:tc>
      </w:tr>
      <w:tr>
        <w:trPr>
          <w:cantSplit/>
        </w:trPr>
        <w:tc>
          <w:tcPr>
            <w:tcW w:w="2552" w:type="dxa"/>
          </w:tcPr>
          <w:p>
            <w:pPr>
              <w:pStyle w:val="TableText"/>
            </w:pPr>
            <w:r>
              <w:rPr>
                <w:b/>
                <w:bCs/>
              </w:rPr>
              <w:t xml:space="preserve">Fee taken before submission</w:t>
            </w:r>
          </w:p>
        </w:tc>
        <w:tc>
          <w:tcPr>
            <w:tcW w:w="7088" w:type="dxa"/>
          </w:tcPr>
          <w:p>
            <w:pPr>
              <w:pStyle w:val="TableText"/>
            </w:pPr>
            <w:r>
              <w:t xml:space="preserve">yes (as in ZIGS)</w:t>
            </w:r>
          </w:p>
        </w:tc>
      </w:tr>
      <w:tr>
        <w:trPr>
          <w:cantSplit/>
        </w:trPr>
        <w:tc>
          <w:tcPr>
            <w:tcW w:w="2552" w:type="dxa"/>
          </w:tcPr>
          <w:p>
            <w:pPr>
              <w:pStyle w:val="TableText"/>
            </w:pPr>
            <w:r>
              <w:rPr>
                <w:b/>
                <w:bCs/>
              </w:rPr>
              <w:t xml:space="preserve">Time to issue (legacy)</w:t>
            </w:r>
          </w:p>
        </w:tc>
        <w:tc>
          <w:tcPr>
            <w:tcW w:w="7088" w:type="dxa"/>
          </w:tcPr>
          <w:p>
            <w:pPr>
              <w:pStyle w:val="TableText"/>
            </w:pPr>
            <w:r>
              <w:t xml:space="preserve">New: 5 calendar days</w:t>
            </w:r>
          </w:p>
        </w:tc>
      </w:tr>
      <w:tr>
        <w:trPr>
          <w:cantSplit/>
        </w:trPr>
        <w:tc>
          <w:tcPr>
            <w:tcW w:w="2552" w:type="dxa"/>
          </w:tcPr>
          <w:p>
            <w:pPr>
              <w:pStyle w:val="TableText"/>
            </w:pPr>
            <w:r>
              <w:rPr>
                <w:b/>
                <w:bCs/>
              </w:rPr>
              <w:t xml:space="preserve">Legacy output templates</w:t>
            </w:r>
          </w:p>
        </w:tc>
        <w:tc>
          <w:tcPr>
            <w:tcW w:w="7088" w:type="dxa"/>
          </w:tcPr>
          <w:p>
            <w:pPr>
              <w:pStyle w:val="TableText"/>
            </w:pPr>
            <w:r>
              <w:t xml:space="preserve">Application form: ZIGS_Forms_MFL / MFL_LivestockExportPermit.Application</w:t>
            </w:r>
            <w:r>
              <w:br/>
              <w:t xml:space="preserve">GS-2 Notice of Government Action: ZIGS_Forms_Notices / GS-2.NoticeOfAction</w:t>
            </w:r>
            <w:r>
              <w:br/>
              <w:t xml:space="preserve">CoGA Export Permit: ZIGS_Forms_MFL / MFL_CoGAExportPermit</w:t>
            </w:r>
          </w:p>
        </w:tc>
      </w:tr>
      <w:tr>
        <w:trPr>
          <w:cantSplit/>
        </w:trPr>
        <w:tc>
          <w:tcPr>
            <w:tcW w:w="2552" w:type="dxa"/>
          </w:tcPr>
          <w:p>
            <w:pPr>
              <w:pStyle w:val="TableText"/>
            </w:pPr>
            <w:r>
              <w:rPr>
                <w:b/>
                <w:bCs/>
              </w:rPr>
              <w:t xml:space="preserve">Legacy address</w:t>
            </w:r>
          </w:p>
        </w:tc>
        <w:tc>
          <w:tcPr>
            <w:tcW w:w="7088" w:type="dxa"/>
          </w:tcPr>
          <w:p>
            <w:pPr>
              <w:pStyle w:val="TableText"/>
            </w:pPr>
            <w:r>
              <w:t xml:space="preserve">none recorded</w:t>
            </w:r>
          </w:p>
        </w:tc>
      </w:tr>
      <w:tr>
        <w:trPr>
          <w:cantSplit/>
        </w:trPr>
        <w:tc>
          <w:tcPr>
            <w:tcW w:w="2552" w:type="dxa"/>
          </w:tcPr>
          <w:p>
            <w:pPr>
              <w:pStyle w:val="TableText"/>
            </w:pPr>
            <w:r>
              <w:rPr>
                <w:b/>
                <w:bCs/>
              </w:rPr>
              <w:t xml:space="preserve">How it was brought over</w:t>
            </w:r>
          </w:p>
        </w:tc>
        <w:tc>
          <w:tcPr>
            <w:tcW w:w="7088" w:type="dxa"/>
          </w:tcPr>
          <w:p>
            <w:pPr>
              <w:pStyle w:val="TableText"/>
            </w:pPr>
            <w:r>
              <w:t xml:space="preserve">Imported by the platform's legacy catalogue importer (zcm-backend scripts/zigs/importLegacy.js) from the ZIGS snapshot: form, case types, fees, documents, process and output templates, then served by the new platform.</w:t>
            </w:r>
          </w:p>
        </w:tc>
      </w:tr>
    </w:tbl>
    <w:p>
      <w:pPr>
        <w:pStyle w:val="Heading1"/>
        <w:keepNext/>
      </w:pPr>
      <w:r>
        <w:t xml:space="preserve">7. Version and date</w:t>
      </w:r>
    </w:p>
    <w:tbl>
      <w:tblPr>
        <w:tblStyle w:val="GSBTable"/>
        <w:tblW w:w="9639" w:type="dxa"/>
        <w:tblLayout w:type="fixed"/>
        <w:tblLook w:val="04A0" w:firstRow="0" w:lastRow="0" w:firstColumn="0" w:lastColumn="0" w:noHBand="0" w:noVBand="1"/>
      </w:tblPr>
      <w:tblGrid>
        <w:gridCol w:w="2552"/>
        <w:gridCol w:w="7088"/>
      </w:tblGrid>
      <w:tr>
        <w:trPr>
          <w:cantSplit/>
        </w:trPr>
        <w:tc>
          <w:tcPr>
            <w:tcW w:w="2552" w:type="dxa"/>
          </w:tcPr>
          <w:p>
            <w:pPr>
              <w:pStyle w:val="TableText"/>
            </w:pPr>
            <w:r>
              <w:rPr>
                <w:b/>
                <w:bCs/>
              </w:rPr>
              <w:t xml:space="preserve">Document version</w:t>
            </w:r>
          </w:p>
        </w:tc>
        <w:tc>
          <w:tcPr>
            <w:tcW w:w="7088" w:type="dxa"/>
          </w:tcPr>
          <w:p>
            <w:pPr>
              <w:pStyle w:val="TableText"/>
            </w:pPr>
            <w:r>
              <w:t xml:space="preserve">service v1, platform a0a302b8</w:t>
            </w:r>
          </w:p>
        </w:tc>
      </w:tr>
      <w:tr>
        <w:trPr>
          <w:cantSplit/>
        </w:trPr>
        <w:tc>
          <w:tcPr>
            <w:tcW w:w="2552" w:type="dxa"/>
          </w:tcPr>
          <w:p>
            <w:pPr>
              <w:pStyle w:val="TableText"/>
            </w:pPr>
            <w:r>
              <w:rPr>
                <w:b/>
                <w:bCs/>
              </w:rPr>
              <w:t xml:space="preserve">Generated</w:t>
            </w:r>
          </w:p>
        </w:tc>
        <w:tc>
          <w:tcPr>
            <w:tcW w:w="7088" w:type="dxa"/>
          </w:tcPr>
          <w:p>
            <w:pPr>
              <w:pStyle w:val="TableText"/>
            </w:pPr>
            <w:r>
              <w:t xml:space="preserve">2026-10-21T05:42:52Z (by the end-to-end run, not edited by hand)</w:t>
            </w:r>
          </w:p>
        </w:tc>
      </w:tr>
      <w:tr>
        <w:trPr>
          <w:cantSplit/>
        </w:trPr>
        <w:tc>
          <w:tcPr>
            <w:tcW w:w="2552" w:type="dxa"/>
          </w:tcPr>
          <w:p>
            <w:pPr>
              <w:pStyle w:val="TableText"/>
            </w:pPr>
            <w:r>
              <w:rPr>
                <w:b/>
                <w:bCs/>
              </w:rPr>
              <w:t xml:space="preserve">Service version</w:t>
            </w:r>
          </w:p>
        </w:tc>
        <w:tc>
          <w:tcPr>
            <w:tcW w:w="7088" w:type="dxa"/>
          </w:tcPr>
          <w:p>
            <w:pPr>
              <w:pStyle w:val="TableText"/>
            </w:pPr>
            <w:r>
              <w:t xml:space="preserve">not versioned (configured directly)</w:t>
            </w:r>
          </w:p>
        </w:tc>
      </w:tr>
      <w:tr>
        <w:trPr>
          <w:cantSplit/>
        </w:trPr>
        <w:tc>
          <w:tcPr>
            <w:tcW w:w="2552" w:type="dxa"/>
          </w:tcPr>
          <w:p>
            <w:pPr>
              <w:pStyle w:val="TableText"/>
            </w:pPr>
            <w:r>
              <w:rPr>
                <w:b/>
                <w:bCs/>
              </w:rPr>
              <w:t xml:space="preserve">Platform snapshot</w:t>
            </w:r>
          </w:p>
        </w:tc>
        <w:tc>
          <w:tcPr>
            <w:tcW w:w="7088" w:type="dxa"/>
          </w:tcPr>
          <w:p>
            <w:pPr>
              <w:pStyle w:val="TableText"/>
            </w:pPr>
            <w:r>
              <w:t xml:space="preserve">backend a0a302b8</w:t>
            </w:r>
            <w:r>
              <w:br/>
              <w:t xml:space="preserve">portal 72805f0</w:t>
            </w:r>
            <w:r>
              <w:br/>
              <w:t xml:space="preserve">back office 58e5946</w:t>
            </w:r>
          </w:p>
        </w:tc>
      </w:tr>
      <w:tr>
        <w:trPr>
          <w:cantSplit/>
        </w:trPr>
        <w:tc>
          <w:tcPr>
            <w:tcW w:w="2552" w:type="dxa"/>
          </w:tcPr>
          <w:p>
            <w:pPr>
              <w:pStyle w:val="TableText"/>
            </w:pPr>
            <w:r>
              <w:rPr>
                <w:b/>
                <w:bCs/>
              </w:rPr>
              <w:t xml:space="preserve">Test suite</w:t>
            </w:r>
          </w:p>
        </w:tc>
        <w:tc>
          <w:tcPr>
            <w:tcW w:w="7088" w:type="dxa"/>
          </w:tcPr>
          <w:p>
            <w:pPr>
              <w:pStyle w:val="TableText"/>
            </w:pPr>
            <w:r>
              <w:t xml:space="preserve">e2e 5999d9b; one installation (combined); seed profile mihud</w:t>
            </w:r>
          </w:p>
        </w:tc>
      </w:tr>
      <w:tr>
        <w:trPr>
          <w:cantSplit/>
        </w:trPr>
        <w:tc>
          <w:tcPr>
            <w:tcW w:w="2552" w:type="dxa"/>
          </w:tcPr>
          <w:p>
            <w:pPr>
              <w:pStyle w:val="TableText"/>
            </w:pPr>
            <w:r>
              <w:rPr>
                <w:b/>
                <w:bCs/>
              </w:rPr>
              <w:t xml:space="preserve">Journeys</w:t>
            </w:r>
          </w:p>
        </w:tc>
        <w:tc>
          <w:tcPr>
            <w:tcW w:w="7088" w:type="dxa"/>
          </w:tcPr>
          <w:p>
            <w:pPr>
              <w:pStyle w:val="TableText"/>
            </w:pPr>
            <w:r>
              <w:t xml:space="preserve">30-catalogue-service.spec.js: citizen finds the service, answers its form, uploads its documents and sends the application - passed</w:t>
            </w:r>
            <w:r>
              <w:br/>
              <w:t xml:space="preserve">30-catalogue-service.spec.js: the case goes through every step of its process: payments by the citizen, each officer step by its role - passed</w:t>
            </w:r>
            <w:r>
              <w:br/>
              <w:t xml:space="preserve">30-catalogue-service.spec.js: the grant document is issued, sealed, filled in and verifiable; the citizen has it in My permits - passed</w:t>
            </w:r>
          </w:p>
        </w:tc>
      </w:tr>
      <w:tr>
        <w:trPr>
          <w:cantSplit/>
        </w:trPr>
        <w:tc>
          <w:tcPr>
            <w:tcW w:w="2552" w:type="dxa"/>
          </w:tcPr>
          <w:p>
            <w:pPr>
              <w:pStyle w:val="TableText"/>
            </w:pPr>
            <w:r>
              <w:rPr>
                <w:b/>
                <w:bCs/>
              </w:rPr>
              <w:t xml:space="preserve">Result</w:t>
            </w:r>
          </w:p>
        </w:tc>
        <w:tc>
          <w:tcPr>
            <w:tcW w:w="7088" w:type="dxa"/>
          </w:tcPr>
          <w:p>
            <w:pPr>
              <w:pStyle w:val="TableText"/>
            </w:pPr>
            <w:r>
              <w:t xml:space="preserve">3 of 3 journey tests passed</w:t>
            </w:r>
          </w:p>
        </w:tc>
      </w:tr>
      <w:tr>
        <w:trPr>
          <w:cantSplit/>
        </w:trPr>
        <w:tc>
          <w:tcPr>
            <w:tcW w:w="2552" w:type="dxa"/>
          </w:tcPr>
          <w:p>
            <w:pPr>
              <w:pStyle w:val="TableText"/>
            </w:pPr>
            <w:r>
              <w:rPr>
                <w:b/>
                <w:bCs/>
              </w:rPr>
              <w:t xml:space="preserve">Data</w:t>
            </w:r>
          </w:p>
        </w:tc>
        <w:tc>
          <w:tcPr>
            <w:tcW w:w="7088" w:type="dxa"/>
          </w:tcPr>
          <w:p>
            <w:pPr>
              <w:pStyle w:val="TableText"/>
            </w:pPr>
            <w:r>
              <w:t xml:space="preserve">Synthetic test data on a local test installation; provider test doubles for ZamPass, ZamPay, SMS and signing.</w:t>
            </w:r>
          </w:p>
        </w:tc>
      </w:tr>
    </w:tbl>
    <w:sectPr>
      <w:headerReference w:type="default" r:id="rId4"/>
      <w:footerReference w:type="default" r:id="rId5"/>
      <w:pgSz w:w="11906" w:h="16838"/>
      <w:pgMar w:top="1134" w:right="1134" w:bottom="1134" w:left="1134" w:header="567" w:footer="567" w:gutter="0"/>
      <w:cols w:space="708"/>
      <w:titlePg/>
    </w:sectPr>
  </w:body>
</w:document>
</file>

<file path=word/footer1.xml><?xml version="1.0" encoding="utf-8"?>
<w:ftr xmlns:w="http://schemas.openxmlformats.org/wordprocessingml/2006/main" xmlns:r="http://schemas.openxmlformats.org/officeDocument/2006/relationships">
  <w:p>
    <w:pPr>
      <w:pStyle w:val="Footer"/>
    </w:pPr>
    <w:r>
      <w:t xml:space="preserve">Department of Fisheries and Livestock Marketing  ·  version service v1, platform a0a302b8  ·  2026-10-21</w:t>
    </w:r>
  </w:p>
  <w:p>
    <w:pPr>
      <w:pStyle w:val="Footer"/>
      <w:jc w:val="right"/>
    </w:pP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header1.xml><?xml version="1.0" encoding="utf-8"?>
<w:hdr xmlns:w="http://schemas.openxmlformats.org/wordprocessingml/2006/main" xmlns:r="http://schemas.openxmlformats.org/officeDocument/2006/relationships">
  <w:p>
    <w:pPr>
      <w:pStyle w:val="Header"/>
      <w:pBdr>
        <w:bottom w:val="single" w:sz="6" w:space="4" w:color="198A00"/>
      </w:pBdr>
    </w:pPr>
    <w:r>
      <w:t xml:space="preserve">GSB e-Services  ·  Service documentation  ·  Export Permit for Livestock</w:t>
    </w:r>
  </w:p>
</w:hdr>
</file>

<file path=word/numbering.xml><?xml version="1.0" encoding="utf-8"?>
<w:numbering xmlns:w="http://schemas.openxmlformats.org/wordprocessingml/2006/main">
  <w:abstractNum w:abstractNumId="0">
    <w:multiLevelType w:val="singleLevel"/>
    <w:lvl w:ilvl="0">
      <w:start w:val="1"/>
      <w:numFmt w:val="bullet"/>
      <w:lvlText w:val="•"/>
      <w:lvlJc w:val="left"/>
      <w:pPr>
        <w:ind w:left="567" w:hanging="283"/>
      </w:pPr>
      <w:rPr>
        <w:rFonts w:ascii="Arial" w:hAnsi="Arial"/>
        <w:color w:val="198A00"/>
      </w:rPr>
    </w:lvl>
  </w:abstractNum>
  <w:num w:numId="1">
    <w:abstractNumId w:val="0"/>
  </w:num>
</w:numbering>
</file>

<file path=word/settings.xml><?xml version="1.0" encoding="utf-8"?>
<w:settings xmlns:w="http://schemas.openxmlformats.org/wordprocessingml/2006/main">
  <w:zoom w:percent="100"/>
  <w:defaultTabStop w:val="720"/>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Arial" w:hAnsi="Arial" w:eastAsia="Arial" w:cs="Arial"/>
        <w:sz w:val="20"/>
        <w:szCs w:val="20"/>
        <w:lang w:val="en-GB"/>
      </w:rPr>
    </w:rPrDefault>
    <w:pPrDefault>
      <w:pPr>
        <w:spacing w:after="120" w:line="264" w:lineRule="auto"/>
      </w:pPr>
    </w:pPrDefault>
  </w:docDefaults>
  <w:style w:type="paragraph" w:styleId="Normal" w:default="1">
    <w:name w:val="Normal"/>
    <w:qFormat/>
    <w:rPr>
      <w:color w:val="1F2933"/>
    </w:rPr>
  </w:style>
  <w:style w:type="paragraph" w:styleId="Title">
    <w:name w:val="Title"/>
    <w:basedOn w:val="Normal"/>
    <w:next w:val="Normal"/>
    <w:qFormat/>
    <w:pPr>
      <w:spacing w:before="240" w:after="120"/>
    </w:pPr>
    <w:rPr>
      <w:b/>
      <w:color w:val="1F2933"/>
      <w:sz w:val="56"/>
      <w:szCs w:val="56"/>
    </w:rPr>
  </w:style>
  <w:style w:type="paragraph" w:styleId="Subtitle">
    <w:name w:val="Subtitle"/>
    <w:basedOn w:val="Normal"/>
    <w:next w:val="Normal"/>
    <w:qFormat/>
    <w:pPr>
      <w:spacing w:after="480"/>
    </w:pPr>
    <w:rPr>
      <w:color w:val="198A00"/>
      <w:sz w:val="32"/>
      <w:szCs w:val="32"/>
    </w:rPr>
  </w:style>
  <w:style w:type="paragraph" w:styleId="CoverKicker">
    <w:name w:val="Cover kicker"/>
    <w:basedOn w:val="Normal"/>
    <w:qFormat/>
    <w:pPr>
      <w:spacing w:after="40"/>
    </w:pPr>
    <w:rPr>
      <w:b/>
      <w:caps/>
      <w:color w:val="198A00"/>
      <w:spacing w:val="20"/>
      <w:sz w:val="22"/>
      <w:szCs w:val="22"/>
    </w:rPr>
  </w:style>
  <w:style w:type="paragraph" w:styleId="CoverMeta">
    <w:name w:val="Cover details"/>
    <w:basedOn w:val="Normal"/>
    <w:qFormat/>
    <w:pPr>
      <w:spacing w:after="60"/>
    </w:pPr>
    <w:rPr>
      <w:color w:val="1F2933"/>
      <w:sz w:val="22"/>
      <w:szCs w:val="22"/>
    </w:rPr>
  </w:style>
  <w:style w:type="paragraph" w:styleId="Heading1">
    <w:name w:val="heading 1"/>
    <w:basedOn w:val="Normal"/>
    <w:next w:val="Normal"/>
    <w:qFormat/>
    <w:pPr>
      <w:keepNext/>
      <w:keepLines/>
      <w:pBdr>
        <w:bottom w:val="single" w:sz="12" w:space="4" w:color="EF7D00"/>
      </w:pBdr>
      <w:spacing w:before="480" w:after="240"/>
      <w:outlineLvl w:val="0"/>
    </w:pPr>
    <w:rPr>
      <w:b/>
      <w:color w:val="198A00"/>
      <w:sz w:val="36"/>
      <w:szCs w:val="36"/>
    </w:rPr>
  </w:style>
  <w:style w:type="paragraph" w:styleId="Heading2">
    <w:name w:val="heading 2"/>
    <w:basedOn w:val="Normal"/>
    <w:next w:val="Normal"/>
    <w:qFormat/>
    <w:pPr>
      <w:keepNext/>
      <w:keepLines/>
      <w:spacing w:before="360" w:after="120"/>
      <w:outlineLvl w:val="1"/>
    </w:pPr>
    <w:rPr>
      <w:b/>
      <w:color w:val="0F5200"/>
      <w:sz w:val="26"/>
      <w:szCs w:val="26"/>
    </w:rPr>
  </w:style>
  <w:style w:type="paragraph" w:styleId="Heading3">
    <w:name w:val="heading 3"/>
    <w:basedOn w:val="Normal"/>
    <w:next w:val="Normal"/>
    <w:qFormat/>
    <w:pPr>
      <w:keepNext/>
      <w:keepLines/>
      <w:spacing w:before="240" w:after="80"/>
      <w:outlineLvl w:val="2"/>
    </w:pPr>
    <w:rPr>
      <w:b/>
      <w:color w:val="1F2933"/>
      <w:sz w:val="22"/>
      <w:szCs w:val="22"/>
    </w:rPr>
  </w:style>
  <w:style w:type="paragraph" w:styleId="Caption">
    <w:name w:val="caption"/>
    <w:basedOn w:val="Normal"/>
    <w:next w:val="Normal"/>
    <w:qFormat/>
    <w:pPr>
      <w:spacing w:before="40" w:after="200"/>
    </w:pPr>
    <w:rPr>
      <w:i/>
      <w:color w:val="5F6B76"/>
      <w:sz w:val="17"/>
      <w:szCs w:val="17"/>
    </w:rPr>
  </w:style>
  <w:style w:type="paragraph" w:styleId="Note">
    <w:name w:val="Note"/>
    <w:basedOn w:val="Normal"/>
    <w:qFormat/>
    <w:pPr>
      <w:pBdr>
        <w:left w:val="single" w:sz="18" w:space="8" w:color="EF7D00"/>
      </w:pBdr>
      <w:shd w:val="clear" w:color="auto" w:fill="EAF4E5"/>
      <w:spacing w:before="120" w:after="160"/>
      <w:ind w:left="170"/>
    </w:pPr>
    <w:rPr>
      <w:color w:val="1F2933"/>
      <w:sz w:val="18"/>
      <w:szCs w:val="18"/>
    </w:rPr>
  </w:style>
  <w:style w:type="paragraph" w:styleId="ListBullet">
    <w:name w:val="List Bullet"/>
    <w:basedOn w:val="Normal"/>
    <w:qFormat/>
    <w:pPr>
      <w:numPr>
        <w:numId w:val="1"/>
      </w:numPr>
      <w:spacing w:after="60"/>
    </w:pPr>
  </w:style>
  <w:style w:type="paragraph" w:styleId="TableText">
    <w:name w:val="Table text"/>
    <w:basedOn w:val="Normal"/>
    <w:qFormat/>
    <w:pPr>
      <w:spacing w:before="20" w:after="20" w:line="240" w:lineRule="auto"/>
    </w:pPr>
    <w:rPr>
      <w:sz w:val="18"/>
      <w:szCs w:val="18"/>
    </w:rPr>
  </w:style>
  <w:style w:type="paragraph" w:styleId="Header">
    <w:name w:val="header"/>
    <w:basedOn w:val="Normal"/>
    <w:qFormat/>
    <w:pPr>
      <w:tabs>
        <w:tab w:val="right" w:pos="9638"/>
      </w:tabs>
      <w:spacing w:after="0"/>
    </w:pPr>
    <w:rPr>
      <w:color w:val="5F6B76"/>
      <w:sz w:val="16"/>
      <w:szCs w:val="16"/>
    </w:rPr>
  </w:style>
  <w:style w:type="paragraph" w:styleId="Footer">
    <w:name w:val="footer"/>
    <w:basedOn w:val="Normal"/>
    <w:qFormat/>
    <w:pPr>
      <w:tabs>
        <w:tab w:val="right" w:pos="9638"/>
      </w:tabs>
      <w:spacing w:after="0"/>
    </w:pPr>
    <w:rPr>
      <w:color w:val="5F6B76"/>
      <w:sz w:val="16"/>
      <w:szCs w:val="16"/>
    </w:rPr>
  </w:style>
  <w:style w:type="table" w:styleId="GSBTable">
    <w:name w:val="GSB table"/>
    <w:basedOn w:val="TableNormal"/>
    <w:qFormat/>
    <w:pPr>
      <w:spacing w:after="0"/>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40" w:type="dxa"/>
        <w:left w:w="100" w:type="dxa"/>
        <w:bottom w:w="40" w:type="dxa"/>
        <w:right w:w="100" w:type="dxa"/>
      </w:tblCellMar>
    </w:tblPr>
    <w:tblStylePr w:type="firstRow">
      <w:rPr>
        <w:b/>
        <w:color w:val="FFFFFF"/>
      </w:rPr>
      <w:tcPr>
        <w:shd w:val="clear" w:color="auto" w:fill="198A00"/>
      </w:tcPr>
    </w:tblStylePr>
  </w:style>
  <w:style w:type="table" w:default="1" w:styleId="TableNormal">
    <w:name w:val="Normal Table"/>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numbering" Target="numbering.xml"/><Relationship Id="rId4" Type="http://schemas.openxmlformats.org/officeDocument/2006/relationships/header" Target="header1.xml"/><Relationship Id="rId5" Type="http://schemas.openxmlformats.org/officeDocument/2006/relationships/footer" Target="footer1.xml"/><Relationship Id="rIdImg1" Type="http://schemas.openxmlformats.org/officeDocument/2006/relationships/image" Target="media/img001.png"/><Relationship Id="rIdImg2" Type="http://schemas.openxmlformats.org/officeDocument/2006/relationships/image" Target="media/img002.png"/><Relationship Id="rIdImg3" Type="http://schemas.openxmlformats.org/officeDocument/2006/relationships/image" Target="media/img003.png"/><Relationship Id="rIdImg4" Type="http://schemas.openxmlformats.org/officeDocument/2006/relationships/image" Target="media/img004.png"/><Relationship Id="rIdImg5" Type="http://schemas.openxmlformats.org/officeDocument/2006/relationships/image" Target="media/img005.png"/><Relationship Id="rIdImg6" Type="http://schemas.openxmlformats.org/officeDocument/2006/relationships/image" Target="media/img006.png"/><Relationship Id="rIdImg7" Type="http://schemas.openxmlformats.org/officeDocument/2006/relationships/image" Target="media/img007.png"/><Relationship Id="rIdImg8" Type="http://schemas.openxmlformats.org/officeDocument/2006/relationships/image" Target="media/img008.png"/><Relationship Id="rIdImg9" Type="http://schemas.openxmlformats.org/officeDocument/2006/relationships/image" Target="media/img009.png"/><Relationship Id="rIdImg10" Type="http://schemas.openxmlformats.org/officeDocument/2006/relationships/image" Target="media/img010.png"/><Relationship Id="rIdImg11" Type="http://schemas.openxmlformats.org/officeDocument/2006/relationships/image" Target="media/img011.png"/><Relationship Id="rIdImg12" Type="http://schemas.openxmlformats.org/officeDocument/2006/relationships/image" Target="media/img012.png"/><Relationship Id="rIdImg13" Type="http://schemas.openxmlformats.org/officeDocument/2006/relationships/image" Target="media/img013.png"/><Relationship Id="rIdImg14" Type="http://schemas.openxmlformats.org/officeDocument/2006/relationships/image" Target="media/img014.png"/><Relationship Id="rIdImg15" Type="http://schemas.openxmlformats.org/officeDocument/2006/relationships/image" Target="media/img015.png"/><Relationship Id="rIdImg16" Type="http://schemas.openxmlformats.org/officeDocument/2006/relationships/image" Target="media/img016.png"/><Relationship Id="rIdImg17" Type="http://schemas.openxmlformats.org/officeDocument/2006/relationships/image" Target="media/img017.png"/><Relationship Id="rIdImg18" Type="http://schemas.openxmlformats.org/officeDocument/2006/relationships/image" Target="media/img018.png"/><Relationship Id="rIdImg19" Type="http://schemas.openxmlformats.org/officeDocument/2006/relationships/image" Target="media/img019.png"/><Relationship Id="rIdImg20" Type="http://schemas.openxmlformats.org/officeDocument/2006/relationships/image" Target="media/img020.png"/><Relationship Id="rIdImg21" Type="http://schemas.openxmlformats.org/officeDocument/2006/relationships/image" Target="media/img021.png"/><Relationship Id="rIdImg22" Type="http://schemas.openxmlformats.org/officeDocument/2006/relationships/image" Target="media/img022.png"/><Relationship Id="rIdImg23" Type="http://schemas.openxmlformats.org/officeDocument/2006/relationships/image" Target="media/img023.png"/><Relationship Id="rIdImg24" Type="http://schemas.openxmlformats.org/officeDocument/2006/relationships/image" Target="media/img024.png"/><Relationship Id="rIdImg25" Type="http://schemas.openxmlformats.org/officeDocument/2006/relationships/image" Target="media/img025.png"/><Relationship Id="rIdImg26" Type="http://schemas.openxmlformats.org/officeDocument/2006/relationships/image" Target="media/img026.png"/><Relationship Id="rIdImg27" Type="http://schemas.openxmlformats.org/officeDocument/2006/relationships/image" Target="media/img027.png"/><Relationship Id="rIdImg28" Type="http://schemas.openxmlformats.org/officeDocument/2006/relationships/image" Target="media/img028.png"/><Relationship Id="rIdImg29" Type="http://schemas.openxmlformats.org/officeDocument/2006/relationships/image" Target="media/img029.png"/><Relationship Id="rIdImg30" Type="http://schemas.openxmlformats.org/officeDocument/2006/relationships/image" Target="media/img030.png"/><Relationship Id="rIdImg31" Type="http://schemas.openxmlformats.org/officeDocument/2006/relationships/image" Target="media/img031.png"/><Relationship Id="rIdImg32" Type="http://schemas.openxmlformats.org/officeDocument/2006/relationships/image" Target="media/img032.png"/></Relationships>
</file>

<file path=docProps/app.xml><?xml version="1.0" encoding="utf-8"?>
<Properties xmlns="http://schemas.openxmlformats.org/officeDocument/2006/extended-properties" xmlns:vt="http://schemas.openxmlformats.org/officeDocument/2006/docPropsVTypes">
  <Application>GSB e-Services service documentation</Application>
  <Company>Government of the Republic of Zambia</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Export Permit for Livestock - service documentation</dc:title>
  <dc:subject>Department of Fisheries and Livestock Marketing</dc:subject>
  <dc:creator>GSB e-Services end-to-end suite</dc:creator>
  <cp:keywords>MFL/export-permit-for-livestock</cp:keywords>
  <cp:revision>1</cp:revision>
  <dcterms:created xsi:type="dcterms:W3CDTF">2026-10-21T05:42:52Z</dcterms:created>
  <dcterms:modified xsi:type="dcterms:W3CDTF">2026-10-21T05:42:52Z</dcterms:modified>
</cp:coreProperties>
</file>