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Burial Permit</w:t>
      </w:r>
    </w:p>
    <w:p>
      <w:pPr>
        <w:pStyle w:val="Subtitle"/>
      </w:pPr>
      <w:r>
        <w:t xml:space="preserve">Service documentation</w:t>
      </w:r>
    </w:p>
    <w:p>
      <w:pPr>
        <w:pStyle w:val="CoverMeta"/>
      </w:pPr>
      <w:r>
        <w:t xml:space="preserve">Owner: Department of Local Government</w:t>
      </w:r>
    </w:p>
    <w:p>
      <w:pPr>
        <w:pStyle w:val="CoverMeta"/>
      </w:pPr>
      <w:r>
        <w:t xml:space="preserve">Service key: LGD/burial-permit</w:t>
      </w:r>
    </w:p>
    <w:p>
      <w:pPr>
        <w:pStyle w:val="CoverMeta"/>
      </w:pPr>
      <w:r>
        <w:t xml:space="preserve">Version: service v1, platform 39fb88e4</w:t>
      </w:r>
    </w:p>
    <w:p>
      <w:pPr>
        <w:pStyle w:val="CoverMeta"/>
      </w:pPr>
      <w:r>
        <w:t xml:space="preserve">Date: 2026-10-21</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Burial Permit service of Department of Local Government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Burial Permit</w:t>
            </w:r>
          </w:p>
        </w:tc>
      </w:tr>
      <w:tr>
        <w:trPr>
          <w:cantSplit/>
        </w:trPr>
        <w:tc>
          <w:tcPr>
            <w:tcW w:w="2552" w:type="dxa"/>
          </w:tcPr>
          <w:p>
            <w:pPr>
              <w:pStyle w:val="TableText"/>
            </w:pPr>
            <w:r>
              <w:rPr>
                <w:b/>
                <w:bCs/>
              </w:rPr>
              <w:t xml:space="preserve">Owner (MDA)</w:t>
            </w:r>
          </w:p>
        </w:tc>
        <w:tc>
          <w:tcPr>
            <w:tcW w:w="7088" w:type="dxa"/>
          </w:tcPr>
          <w:p>
            <w:pPr>
              <w:pStyle w:val="TableText"/>
            </w:pPr>
            <w:r>
              <w:t xml:space="preserve">Department of Local Government (LGD)</w:t>
            </w:r>
          </w:p>
        </w:tc>
      </w:tr>
      <w:tr>
        <w:trPr>
          <w:cantSplit/>
        </w:trPr>
        <w:tc>
          <w:tcPr>
            <w:tcW w:w="2552" w:type="dxa"/>
          </w:tcPr>
          <w:p>
            <w:pPr>
              <w:pStyle w:val="TableText"/>
            </w:pPr>
            <w:r>
              <w:rPr>
                <w:b/>
                <w:bCs/>
              </w:rPr>
              <w:t xml:space="preserve">Purpose</w:t>
            </w:r>
          </w:p>
        </w:tc>
        <w:tc>
          <w:tcPr>
            <w:tcW w:w="7088" w:type="dxa"/>
          </w:tcPr>
          <w:p>
            <w:pPr>
              <w:pStyle w:val="TableText"/>
            </w:pPr>
            <w:r>
              <w:t xml:space="preserve">A burial permit issued by the local council in accordance with the Births and Deaths Registration Act and the Public Health Act, authorising the burial of a deceased person within the council jurisdiction.</w:t>
            </w:r>
          </w:p>
        </w:tc>
      </w:tr>
      <w:tr>
        <w:trPr>
          <w:cantSplit/>
        </w:trPr>
        <w:tc>
          <w:tcPr>
            <w:tcW w:w="2552" w:type="dxa"/>
          </w:tcPr>
          <w:p>
            <w:pPr>
              <w:pStyle w:val="TableText"/>
            </w:pPr>
            <w:r>
              <w:rPr>
                <w:b/>
                <w:bCs/>
              </w:rPr>
              <w:t xml:space="preserve">Who can apply</w:t>
            </w:r>
          </w:p>
        </w:tc>
        <w:tc>
          <w:tcPr>
            <w:tcW w:w="7088" w:type="dxa"/>
          </w:tcPr>
          <w:p>
            <w:pPr>
              <w:pStyle w:val="TableText"/>
            </w:pPr>
            <w:r>
              <w:t xml:space="preserve">Individual; Organization</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Service fee: ZMW 26.62</w:t>
            </w:r>
          </w:p>
        </w:tc>
      </w:tr>
      <w:tr>
        <w:trPr>
          <w:cantSplit/>
        </w:trPr>
        <w:tc>
          <w:tcPr>
            <w:tcW w:w="2552" w:type="dxa"/>
          </w:tcPr>
          <w:p>
            <w:pPr>
              <w:pStyle w:val="TableText"/>
            </w:pPr>
            <w:r>
              <w:rPr>
                <w:b/>
                <w:bCs/>
              </w:rPr>
              <w:t xml:space="preserve">Turnaround</w:t>
            </w:r>
          </w:p>
        </w:tc>
        <w:tc>
          <w:tcPr>
            <w:tcW w:w="7088" w:type="dxa"/>
          </w:tcPr>
          <w:p>
            <w:pPr>
              <w:pStyle w:val="TableText"/>
            </w:pPr>
            <w:r>
              <w:t xml:space="preserve">1 working day</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N/A</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None</w:t>
            </w:r>
          </w:p>
        </w:tc>
      </w:tr>
      <w:tr>
        <w:trPr>
          <w:cantSplit/>
        </w:trPr>
        <w:tc>
          <w:tcPr>
            <w:tcW w:w="2552" w:type="dxa"/>
          </w:tcPr>
          <w:p>
            <w:pPr>
              <w:pStyle w:val="TableText"/>
            </w:pPr>
            <w:r>
              <w:rPr>
                <w:b/>
                <w:bCs/>
              </w:rPr>
              <w:t xml:space="preserve">Output documents</w:t>
            </w:r>
          </w:p>
        </w:tc>
        <w:tc>
          <w:tcPr>
            <w:tcW w:w="7088" w:type="dxa"/>
          </w:tcPr>
          <w:p>
            <w:pPr>
              <w:pStyle w:val="TableText"/>
            </w:pPr>
            <w:r>
              <w:t xml:space="preserve">Burial Permit</w:t>
            </w:r>
            <w:r>
              <w:br/>
              <w:t xml:space="preserve">GS-1 Application for a Government Service</w:t>
            </w:r>
            <w:r>
              <w:br/>
              <w:t xml:space="preserve">GS-2 Notice of Government Action</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Applicant</w:t>
            </w:r>
          </w:p>
        </w:tc>
        <w:tc>
          <w:tcPr>
            <w:tcW w:w="4026" w:type="dxa"/>
          </w:tcPr>
          <w:p>
            <w:pPr>
              <w:pStyle w:val="TableText"/>
            </w:pPr>
            <w:r>
              <w:t xml:space="preserve">Payment</w:t>
            </w:r>
          </w:p>
        </w:tc>
        <w:tc>
          <w:tcPr>
            <w:tcW w:w="2552" w:type="dxa"/>
          </w:tcPr>
          <w:p>
            <w:pPr>
              <w:pStyle w:val="TableText"/>
            </w:pPr>
            <w:r>
              <w:t xml:space="preserve">payment</w:t>
            </w:r>
          </w:p>
        </w:tc>
      </w:tr>
      <w:tr>
        <w:trPr>
          <w:cantSplit/>
        </w:trPr>
        <w:tc>
          <w:tcPr>
            <w:tcW w:w="794" w:type="dxa"/>
          </w:tcPr>
          <w:p>
            <w:pPr>
              <w:pStyle w:val="TableText"/>
            </w:pPr>
            <w:r>
              <w:t xml:space="preserve">3</w:t>
            </w:r>
          </w:p>
        </w:tc>
        <w:tc>
          <w:tcPr>
            <w:tcW w:w="2268" w:type="dxa"/>
          </w:tcPr>
          <w:p>
            <w:pPr>
              <w:pStyle w:val="TableText"/>
            </w:pPr>
            <w:r>
              <w:t xml:space="preserve">Case Officer</w:t>
            </w:r>
          </w:p>
        </w:tc>
        <w:tc>
          <w:tcPr>
            <w:tcW w:w="4026" w:type="dxa"/>
          </w:tcPr>
          <w:p>
            <w:pPr>
              <w:pStyle w:val="TableText"/>
            </w:pPr>
            <w:r>
              <w:t xml:space="preserve">Verify Payment</w:t>
            </w:r>
          </w:p>
        </w:tc>
        <w:tc>
          <w:tcPr>
            <w:tcW w:w="2552" w:type="dxa"/>
          </w:tcPr>
          <w:p>
            <w:pPr>
              <w:pStyle w:val="TableText"/>
            </w:pPr>
            <w:r>
              <w:t xml:space="preserve">verify-payment</w:t>
            </w:r>
          </w:p>
        </w:tc>
      </w:tr>
      <w:tr>
        <w:trPr>
          <w:cantSplit/>
        </w:trPr>
        <w:tc>
          <w:tcPr>
            <w:tcW w:w="794" w:type="dxa"/>
          </w:tcPr>
          <w:p>
            <w:pPr>
              <w:pStyle w:val="TableText"/>
            </w:pPr>
            <w:r>
              <w:t xml:space="preserve">4</w:t>
            </w:r>
          </w:p>
        </w:tc>
        <w:tc>
          <w:tcPr>
            <w:tcW w:w="2268" w:type="dxa"/>
          </w:tcPr>
          <w:p>
            <w:pPr>
              <w:pStyle w:val="TableText"/>
            </w:pPr>
            <w:r>
              <w:t xml:space="preserve">Case Officer</w:t>
            </w:r>
          </w:p>
        </w:tc>
        <w:tc>
          <w:tcPr>
            <w:tcW w:w="4026" w:type="dxa"/>
          </w:tcPr>
          <w:p>
            <w:pPr>
              <w:pStyle w:val="TableText"/>
            </w:pPr>
            <w:r>
              <w:t xml:space="preserve">Decision</w:t>
            </w:r>
          </w:p>
        </w:tc>
        <w:tc>
          <w:tcPr>
            <w:tcW w:w="2552" w:type="dxa"/>
          </w:tcPr>
          <w:p>
            <w:pPr>
              <w:pStyle w:val="TableText"/>
            </w:pPr>
            <w:r>
              <w:t xml:space="preserve">decision</w:t>
            </w:r>
          </w:p>
        </w:tc>
      </w:tr>
      <w:tr>
        <w:trPr>
          <w:cantSplit/>
        </w:trPr>
        <w:tc>
          <w:tcPr>
            <w:tcW w:w="794" w:type="dxa"/>
          </w:tcPr>
          <w:p>
            <w:pPr>
              <w:pStyle w:val="TableText"/>
            </w:pPr>
            <w:r>
              <w:t xml:space="preserve">5</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6</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Anyone (public). Citizen steps are shown on a desktop and on a 375 px phone; back-office steps on a desktop.</w:t>
      </w:r>
    </w:p>
    <w:p>
      <w:pPr>
        <w:pStyle w:val="Heading3"/>
        <w:keepNext/>
      </w:pPr>
      <w:r>
        <w:t xml:space="preserve">Step 1. Find the service at the council</w:t>
      </w:r>
    </w:p>
    <w:p>
      <w:pPr>
        <w:keepNext/>
      </w:pPr>
      <w:r>
        <w:rPr>
          <w:i/>
          <w:iCs/>
        </w:rPr>
        <w:t xml:space="preserve">Citizen · National e-Services portal</w:t>
      </w:r>
    </w:p>
    <w:p>
      <w:pPr>
        <w:keepNext/>
      </w:pPr>
      <w:r>
        <w:t xml:space="preserve">The service is delivered by the local authorities: on the national e-Services portal the citizen opens Councils, chooses their council (Lusaka City Council in this run) and searches its services ("Burial Permit"). The application is then registered with that council and priced with its own fees.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at the council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at the council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at the council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at the council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at the council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the fee, how long it takes and the documents to have ready, and names the council the application goes to. "Start application" begins an application at Lusaka City Council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(19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9379186"/>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9379186"/>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The service asks for no supporting documents, so the citizen continues straight to the check of the answers.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7875092"/>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7875092"/>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(LGD-BP/00002/10-21-26 in this run). The fee is due now: it is taken with the application, so the invoice was raised when the application was sent.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See that the fee is due</w:t>
      </w:r>
    </w:p>
    <w:p>
      <w:pPr>
        <w:keepNext/>
      </w:pPr>
      <w:r>
        <w:rPr>
          <w:i/>
          <w:iCs/>
        </w:rPr>
        <w:t xml:space="preserve">Citizen · National e-Services portal</w:t>
      </w:r>
    </w:p>
    <w:p>
      <w:pPr>
        <w:keepNext/>
      </w:pPr>
      <w:r>
        <w:t xml:space="preserve">The application shows "Waiting for your payment" in My Workplace with a Pay button (K26.62). The fee is taken with the application; the invoice was raised on ZamPay.</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5" name="img015.png" descr="See that the fee is du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See that the fee is due - desktop"/>
                          <pic:cNvPicPr/>
                        </pic:nvPicPr>
                        <pic:blipFill>
                          <a:blip r:embed="rIdImg1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6" name="img016.png" descr="See that the fee is du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See that the fee is due - 375 px phone"/>
                          <pic:cNvPicPr/>
                        </pic:nvPicPr>
                        <pic:blipFill>
                          <a:blip r:embed="rIdImg1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8: See that the fee is due - desktop (left) and a 375 px phone (right).</w:t>
      </w:r>
    </w:p>
    <w:p>
      <w:pPr>
        <w:pStyle w:val="Heading3"/>
        <w:keepNext/>
      </w:pPr>
      <w:r>
        <w:t xml:space="preserve">Step 9. Pay with ZamPay</w:t>
      </w:r>
    </w:p>
    <w:p>
      <w:pPr>
        <w:keepNext/>
      </w:pPr>
      <w:r>
        <w:rPr>
          <w:i/>
          <w:iCs/>
        </w:rPr>
        <w:t xml:space="preserve">Citizen · National e-Services portal</w:t>
      </w:r>
    </w:p>
    <w:p>
      <w:pPr>
        <w:keepNext/>
      </w:pPr>
      <w:r>
        <w:t xml:space="preserve">Pay opens the invoice (K26.62, the amount set by the platform, never by the page) with its PDF preview; the citizen pays at ZamPay by mobile money or bank card.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7" name="img017.png" descr="Pay with ZamPay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Pay with ZamPay - desktop"/>
                          <pic:cNvPicPr/>
                        </pic:nvPicPr>
                        <pic:blipFill>
                          <a:blip r:embed="rIdImg17"/>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8" name="img018.png" descr="Pay with ZamPay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Pay with ZamPay - 375 px phone"/>
                          <pic:cNvPicPr/>
                        </pic:nvPicPr>
                        <pic:blipFill>
                          <a:blip r:embed="rIdImg1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9: Pay with ZamPay - desktop (left) and a 375 px phone (right).</w:t>
      </w:r>
    </w:p>
    <w:p>
      <w:pPr>
        <w:pStyle w:val="Heading3"/>
        <w:keepNext/>
      </w:pPr>
      <w:r>
        <w:t xml:space="preserve">Step 10. Payment received</w:t>
      </w:r>
    </w:p>
    <w:p>
      <w:pPr>
        <w:keepNext/>
      </w:pPr>
      <w:r>
        <w:rPr>
          <w:i/>
          <w:iCs/>
        </w:rPr>
        <w:t xml:space="preserve">Citizen · National e-Services portal</w:t>
      </w:r>
    </w:p>
    <w:p>
      <w:pPr>
        <w:keepNext/>
      </w:pPr>
      <w:r>
        <w:t xml:space="preserve">ZamPay reports the payment; the dialog says "Paid. Thank you" and the application moves on to the ministry's officers.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9" name="img019.png" descr="Payment received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Payment received - desktop"/>
                          <pic:cNvPicPr/>
                        </pic:nvPicPr>
                        <pic:blipFill>
                          <a:blip r:embed="rIdImg1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0" name="img020.png" descr="Payment received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Payment received - 375 px phone"/>
                          <pic:cNvPicPr/>
                        </pic:nvPicPr>
                        <pic:blipFill>
                          <a:blip r:embed="rIdImg2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10: Payment received - desktop (left) and a 375 px phone (right).</w:t>
      </w:r>
    </w:p>
    <w:p>
      <w:pPr>
        <w:pStyle w:val="Heading3"/>
        <w:keepNext/>
      </w:pPr>
      <w:r>
        <w:t xml:space="preserve">Step 11. Take the new application on</w:t>
      </w:r>
    </w:p>
    <w:p>
      <w:pPr>
        <w:keepNext/>
      </w:pPr>
      <w:r>
        <w:rPr>
          <w:i/>
          <w:iCs/>
        </w:rPr>
        <w:t xml:space="preserve">Case Officer · Back office</w:t>
      </w:r>
    </w:p>
    <w:p>
      <w:pPr>
        <w:keepNext/>
      </w:pPr>
      <w:r>
        <w:t xml:space="preserve">The application arrives in the case queue of the ministry that owns the service (Department of Local Government);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21" name="img021.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Take the new application on"/>
                    <pic:cNvPicPr/>
                  </pic:nvPicPr>
                  <pic:blipFill>
                    <a:blip r:embed="rIdImg21"/>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11: Take the new application on.</w:t>
      </w:r>
    </w:p>
    <w:p>
      <w:pPr>
        <w:pStyle w:val="Heading3"/>
        <w:keepNext/>
      </w:pPr>
      <w:r>
        <w:t xml:space="preserve">Step 12. Fill in the certificate particulars</w:t>
      </w:r>
    </w:p>
    <w:p>
      <w:pPr>
        <w:keepNext/>
      </w:pPr>
      <w:r>
        <w:rPr>
          <w:i/>
          <w:iCs/>
        </w:rPr>
        <w:t xml:space="preserve">Case Officer · Back office</w:t>
      </w:r>
    </w:p>
    <w:p>
      <w:pPr>
        <w:keepNext/>
      </w:pPr>
      <w:r>
        <w:t xml:space="preserve">The issued document prints 2 fields that come from the office rather than from the application (Death date formatted, Death time formatted). The officer fills them in on the case's "Certificate particulars" tab before the document is issued (synthetic values in this run) and saves; once the document is issued they can no longer change.</w:t>
      </w:r>
    </w:p>
    <w:p>
      <w:pPr>
        <w:keepNext/>
        <w:spacing w:after="0"/>
        <w:jc w:val="center"/>
      </w:pPr>
      <w:r>
        <w:drawing>
          <wp:inline distT="0" distB="0" distL="0" distR="0">
            <wp:extent cx="5940000" cy="3913616"/>
            <wp:effectExtent l="0" t="0" r="0" b="0"/>
            <wp:docPr id="1022" name="img022.png" descr="Fill in the certificate particul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Fill in the certificate particulars"/>
                    <pic:cNvPicPr/>
                  </pic:nvPicPr>
                  <pic:blipFill>
                    <a:blip r:embed="rIdImg22"/>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12: Fill in the certificate particulars.</w:t>
      </w:r>
    </w:p>
    <w:p>
      <w:pPr>
        <w:pStyle w:val="Heading3"/>
        <w:keepNext/>
      </w:pPr>
      <w:r>
        <w:t xml:space="preserve">Step 13. Verify Payment</w:t>
      </w:r>
    </w:p>
    <w:p>
      <w:pPr>
        <w:keepNext/>
      </w:pPr>
      <w:r>
        <w:rPr>
          <w:i/>
          <w:iCs/>
        </w:rPr>
        <w:t xml:space="preserve">Case Officer · Back office</w:t>
      </w:r>
    </w:p>
    <w:p>
      <w:pPr>
        <w:keepNext/>
      </w:pPr>
      <w:r>
        <w:t xml:space="preserve">The Case Officer works on "Verify Payment" (verify-payment in the imported process), checks the application and its documents, and completes the step.</w:t>
      </w:r>
    </w:p>
    <w:p>
      <w:pPr>
        <w:keepNext/>
        <w:spacing w:after="0"/>
        <w:jc w:val="center"/>
      </w:pPr>
      <w:r>
        <w:drawing>
          <wp:inline distT="0" distB="0" distL="0" distR="0">
            <wp:extent cx="5940000" cy="3913616"/>
            <wp:effectExtent l="0" t="0" r="0" b="0"/>
            <wp:docPr id="1023" name="img023.png" descr="Verify Pay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Verify Payment"/>
                    <pic:cNvPicPr/>
                  </pic:nvPicPr>
                  <pic:blipFill>
                    <a:blip r:embed="rIdImg23"/>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13: Verify Payment.</w:t>
      </w:r>
    </w:p>
    <w:p>
      <w:pPr>
        <w:pStyle w:val="Heading3"/>
        <w:keepNext/>
      </w:pPr>
      <w:r>
        <w:t xml:space="preserve">Step 14. Decide: Verify the details and issue the permit</w:t>
      </w:r>
    </w:p>
    <w:p>
      <w:pPr>
        <w:keepNext/>
      </w:pPr>
      <w:r>
        <w:rPr>
          <w:i/>
          <w:iCs/>
        </w:rPr>
        <w:t xml:space="preserve">Case Officer · Back office</w:t>
      </w:r>
    </w:p>
    <w:p>
      <w:pPr>
        <w:keepNext/>
      </w:pPr>
      <w:r>
        <w:t xml:space="preserve">At "Verify the details and issue the permit" the Case Officer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24" name="img024.png" descr="Decide: Verify the details and issue the perm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Decide: Verify the details and issue the permit"/>
                    <pic:cNvPicPr/>
                  </pic:nvPicPr>
                  <pic:blipFill>
                    <a:blip r:embed="rIdImg24"/>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14: Decide: Verify the details and issue the permit.</w:t>
      </w:r>
    </w:p>
    <w:p>
      <w:pPr>
        <w:pStyle w:val="Heading3"/>
        <w:keepNext/>
      </w:pPr>
      <w:r>
        <w:t xml:space="preserve">Step 15. Issue the document</w:t>
      </w:r>
    </w:p>
    <w:p>
      <w:pPr>
        <w:keepNext/>
      </w:pPr>
      <w:r>
        <w:rPr>
          <w:i/>
          <w:iCs/>
        </w:rPr>
        <w:t xml:space="preserve">Case Officer · Back office</w:t>
      </w:r>
    </w:p>
    <w:p>
      <w:pPr>
        <w:keepNext/>
      </w:pPr>
      <w:r>
        <w:t xml:space="preserve">The service's validity ("N/A") is not a fixed period, so completing the case does not issue the document by itself: the officer issues it from the completed case ("Issue / check permit"). It is generated from the service's output configuration and sealed.</w:t>
      </w:r>
    </w:p>
    <w:p>
      <w:pPr>
        <w:keepNext/>
        <w:spacing w:after="0"/>
        <w:jc w:val="center"/>
      </w:pPr>
      <w:r>
        <w:drawing>
          <wp:inline distT="0" distB="0" distL="0" distR="0">
            <wp:extent cx="5940000" cy="3913616"/>
            <wp:effectExtent l="0" t="0" r="0" b="0"/>
            <wp:docPr id="1025" name="img025.png" descr="Issue the 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g025.png" descr="Issue the document"/>
                    <pic:cNvPicPr/>
                  </pic:nvPicPr>
                  <pic:blipFill>
                    <a:blip r:embed="rIdImg2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15: Issue the document.</w:t>
      </w:r>
    </w:p>
    <w:p>
      <w:pPr>
        <w:pStyle w:val="Heading3"/>
        <w:keepNext/>
      </w:pPr>
      <w:r>
        <w:t xml:space="preserve">Step 16. The document in My permits</w:t>
      </w:r>
    </w:p>
    <w:p>
      <w:pPr>
        <w:keepNext/>
      </w:pPr>
      <w:r>
        <w:rPr>
          <w:i/>
          <w:iCs/>
        </w:rPr>
        <w:t xml:space="preserve">Citizen · National e-Services portal</w:t>
      </w:r>
    </w:p>
    <w:p>
      <w:pPr>
        <w:keepNext/>
      </w:pPr>
      <w:r>
        <w:t xml:space="preserve">The issued document (LGD-BP-2026-00002 in this run: "Burial Permit")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6" name="img026.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img026.png" descr="The document in My permits - desktop"/>
                          <pic:cNvPicPr/>
                        </pic:nvPicPr>
                        <pic:blipFill>
                          <a:blip r:embed="rIdImg26"/>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7" name="img027.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img027.png" descr="The document in My permits - 375 px phone"/>
                          <pic:cNvPicPr/>
                        </pic:nvPicPr>
                        <pic:blipFill>
                          <a:blip r:embed="rIdImg27"/>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16: The document in My permits - desktop (left) and a 375 px phone (right).</w:t>
      </w:r>
    </w:p>
    <w:p>
      <w:pPr>
        <w:pStyle w:val="Heading3"/>
        <w:keepNext/>
      </w:pPr>
      <w:r>
        <w:t xml:space="preserve">Step 17.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8" name="img028.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img028.png" descr="Verify the document - desktop"/>
                          <pic:cNvPicPr/>
                        </pic:nvPicPr>
                        <pic:blipFill>
                          <a:blip r:embed="rIdImg28"/>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9" name="img029.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img029.png" descr="Verify the document - 375 px phone"/>
                          <pic:cNvPicPr/>
                        </pic:nvPicPr>
                        <pic:blipFill>
                          <a:blip r:embed="rIdImg29"/>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17: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26.62 ZMW</w:t>
            </w:r>
          </w:p>
        </w:tc>
      </w:tr>
      <w:tr>
        <w:trPr>
          <w:cantSplit/>
        </w:trPr>
        <w:tc>
          <w:tcPr>
            <w:tcW w:w="2835" w:type="dxa"/>
          </w:tcPr>
          <w:p>
            <w:pPr>
              <w:pStyle w:val="TableText"/>
            </w:pPr>
            <w:r>
              <w:t xml:space="preserve">Invoice 1</w:t>
            </w:r>
          </w:p>
        </w:tc>
        <w:tc>
          <w:tcPr>
            <w:tcW w:w="6804" w:type="dxa"/>
          </w:tcPr>
          <w:p>
            <w:pPr>
              <w:pStyle w:val="TableText"/>
            </w:pPr>
            <w:r>
              <w:t xml:space="preserve">9516203593069063</w:t>
            </w:r>
          </w:p>
        </w:tc>
      </w:tr>
      <w:tr>
        <w:trPr>
          <w:cantSplit/>
        </w:trPr>
        <w:tc>
          <w:tcPr>
            <w:tcW w:w="2835" w:type="dxa"/>
          </w:tcPr>
          <w:p>
            <w:pPr>
              <w:pStyle w:val="TableText"/>
            </w:pPr>
            <w:r>
              <w:t xml:space="preserve">Amount 1</w:t>
            </w:r>
          </w:p>
        </w:tc>
        <w:tc>
          <w:tcPr>
            <w:tcW w:w="6804" w:type="dxa"/>
          </w:tcPr>
          <w:p>
            <w:pPr>
              <w:pStyle w:val="TableText"/>
            </w:pPr>
            <w:r>
              <w:t xml:space="preserve">ZMW 26.62</w:t>
            </w:r>
          </w:p>
        </w:tc>
      </w:tr>
      <w:tr>
        <w:trPr>
          <w:cantSplit/>
        </w:trPr>
        <w:tc>
          <w:tcPr>
            <w:tcW w:w="2835" w:type="dxa"/>
          </w:tcPr>
          <w:p>
            <w:pPr>
              <w:pStyle w:val="TableText"/>
            </w:pPr>
            <w:r>
              <w:t xml:space="preserve">Paid at 1</w:t>
            </w:r>
          </w:p>
        </w:tc>
        <w:tc>
          <w:tcPr>
            <w:tcW w:w="6804" w:type="dxa"/>
          </w:tcPr>
          <w:p>
            <w:pPr>
              <w:pStyle w:val="TableText"/>
            </w:pPr>
            <w:r>
              <w:t xml:space="preserve">with the application</w:t>
            </w:r>
          </w:p>
        </w:tc>
      </w:tr>
    </w:tbl>
    <w:p>
      <w:pPr>
        <w:spacing w:before="160"/>
      </w:pPr>
      <w:r>
        <w:t xml:space="preserve">On screen: step 8 (See that the fee is due), step 9 (Pay with ZamPay), step 10 (Payment received) in section 2.</w:t>
      </w:r>
    </w:p>
    <w:p>
      <w:pPr>
        <w:pStyle w:val="Heading1"/>
        <w:keepNext/>
      </w:pPr>
      <w:r>
        <w:t xml:space="preserve">4. Output documents</w:t>
      </w:r>
    </w:p>
    <w:p>
      <w:pPr>
        <w:pStyle w:val="Heading2"/>
        <w:keepNext/>
      </w:pPr>
      <w:r>
        <w:t xml:space="preserve">Burial Permit (sealed PDF)</w:t>
      </w:r>
    </w:p>
    <w:p>
      <w:r>
        <w:t xml:space="preserve">Issued when the case was approved, from the service's output configuration (service template BurialPermit.Certificate.docx),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6365163"/>
            <wp:effectExtent l="0" t="0" r="0" b="0"/>
            <wp:docPr id="1030" name="img030.png" descr="Burial Permit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img030.png" descr="Burial Permit (sealed PDF)"/>
                    <pic:cNvPicPr/>
                  </pic:nvPicPr>
                  <pic:blipFill>
                    <a:blip r:embed="rIdImg30"/>
                    <a:stretch>
                      <a:fillRect/>
                    </a:stretch>
                  </pic:blipFill>
                  <pic:spPr>
                    <a:xfrm>
                      <a:off x="0" y="0"/>
                      <a:ext cx="4500000" cy="6365163"/>
                    </a:xfrm>
                    <a:prstGeom prst="rect">
                      <a:avLst/>
                    </a:prstGeom>
                    <a:ln w="6350">
                      <a:solidFill>
                        <a:srgbClr val="BFBFBF"/>
                      </a:solidFill>
                    </a:ln>
                  </pic:spPr>
                </pic:pic>
              </a:graphicData>
            </a:graphic>
          </wp:inline>
        </w:drawing>
      </w:r>
    </w:p>
    <w:p>
      <w:pPr>
        <w:pStyle w:val="Caption"/>
      </w:pPr>
      <w:r>
        <w:t xml:space="preserve">Burial Permit (sealed PDF) - first of 1 page,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Burial Permit</w:t>
            </w:r>
          </w:p>
        </w:tc>
      </w:tr>
      <w:tr>
        <w:trPr>
          <w:cantSplit/>
        </w:trPr>
        <w:tc>
          <w:tcPr>
            <w:tcW w:w="2835" w:type="dxa"/>
          </w:tcPr>
          <w:p>
            <w:pPr>
              <w:pStyle w:val="TableText"/>
            </w:pPr>
            <w:r>
              <w:t xml:space="preserve">Permit / licence number</w:t>
            </w:r>
          </w:p>
        </w:tc>
        <w:tc>
          <w:tcPr>
            <w:tcW w:w="6804" w:type="dxa"/>
          </w:tcPr>
          <w:p>
            <w:pPr>
              <w:pStyle w:val="TableText"/>
            </w:pPr>
            <w:r>
              <w:t xml:space="preserve">LGD-BP-2026-00002</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2026-10-21</w:t>
            </w:r>
          </w:p>
        </w:tc>
      </w:tr>
      <w:tr>
        <w:trPr>
          <w:cantSplit/>
        </w:trPr>
        <w:tc>
          <w:tcPr>
            <w:tcW w:w="2835" w:type="dxa"/>
          </w:tcPr>
          <w:p>
            <w:pPr>
              <w:pStyle w:val="TableText"/>
            </w:pPr>
            <w:r>
              <w:t xml:space="preserve">Valid until</w:t>
            </w:r>
          </w:p>
        </w:tc>
        <w:tc>
          <w:tcPr>
            <w:tcW w:w="6804" w:type="dxa"/>
          </w:tcPr>
          <w:p>
            <w:pPr>
              <w:pStyle w:val="TableText"/>
            </w:pPr>
            <w:r>
              <w:t xml:space="preserve"/>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MB7B-MJVK-8B</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2026-10-21T11:39:01.445Z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2026-10-21T11:39:01.422Z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221fb38ced6fe263...</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15 (Issue the document), step 16 (The document in My permits), step 17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Payment due (invoice raised)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due for application LGD-BP/00002/10-21-26 - The fee of ZMW 26.62 for Burial Permit (LGD-BP/00002/10-21-26) is now due. Invoice 9516203593069063.</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LGD-BP/00002/10-21-26 received - Your application LGD-BP/00002/10-21-26 for Burial Permit has been received by Department of Local Government.</w:t>
            </w:r>
          </w:p>
        </w:tc>
        <w:tc>
          <w:tcPr>
            <w:tcW w:w="1247" w:type="dxa"/>
          </w:tcPr>
          <w:p>
            <w:pPr>
              <w:pStyle w:val="TableText"/>
            </w:pPr>
            <w:r>
              <w:t xml:space="preserve">shown</w:t>
            </w:r>
          </w:p>
        </w:tc>
      </w:tr>
      <w:tr>
        <w:trPr>
          <w:cantSplit/>
        </w:trPr>
        <w:tc>
          <w:tcPr>
            <w:tcW w:w="1928" w:type="dxa"/>
          </w:tcPr>
          <w:p>
            <w:pPr>
              <w:pStyle w:val="TableText"/>
            </w:pPr>
            <w:r>
              <w:t xml:space="preserve">Payment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received for LGD-BP/00002/10-21-26 - Your payment of ZMW 26.62 for LGD-BP/00002/10-21-26 (Burial Permit) has been received. Receipt: &lt;ZamPay&gt;/pdf?documentType=receipt&amp;invoiceNumber=9516203593069063</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Burial Permit? - How was Burial Permit? Tell us in about a minute.</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LGD-BP/00002/10-21-26 completed - LGD-BP/00002/10-21-26 (Burial Permit)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Burial Permit document has been issued - LGD-BP-2026-00002 has been issued for Burial Permit.</w:t>
            </w:r>
          </w:p>
        </w:tc>
        <w:tc>
          <w:tcPr>
            <w:tcW w:w="1247" w:type="dxa"/>
          </w:tcPr>
          <w:p>
            <w:pPr>
              <w:pStyle w:val="TableText"/>
            </w:pPr>
            <w:r>
              <w:t xml:space="preserve">shown</w:t>
            </w:r>
          </w:p>
        </w:tc>
      </w:tr>
      <w:tr>
        <w:trPr>
          <w:cantSplit/>
        </w:trPr>
        <w:tc>
          <w:tcPr>
            <w:tcW w:w="1928" w:type="dxa"/>
          </w:tcPr>
          <w:p>
            <w:pPr>
              <w:pStyle w:val="TableText"/>
            </w:pPr>
            <w:r>
              <w:t xml:space="preserve">Payment due (invoice raised)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Fee of ZMW 26.62 due for LGD-BP/00002/10-21-26. Invoice 9516203593069063. Pay: &lt;ZamPay&gt;/pay-for-service/get-invoice/9516203593069063</w:t>
            </w:r>
          </w:p>
        </w:tc>
        <w:tc>
          <w:tcPr>
            <w:tcW w:w="1247" w:type="dxa"/>
          </w:tcPr>
          <w:p>
            <w:pPr>
              <w:pStyle w:val="TableText"/>
            </w:pPr>
            <w:r>
              <w:t xml:space="preserve">delivered</w:t>
            </w:r>
          </w:p>
        </w:tc>
      </w:tr>
      <w:tr>
        <w:trPr>
          <w:cantSplit/>
        </w:trPr>
        <w:tc>
          <w:tcPr>
            <w:tcW w:w="1928" w:type="dxa"/>
          </w:tcPr>
          <w:p>
            <w:pPr>
              <w:pStyle w:val="TableText"/>
            </w:pPr>
            <w:r>
              <w:t xml:space="preserve">Payment due (invoice raised)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Payment due for application LGD-BP/00002/10-21-26</w:t>
            </w:r>
          </w:p>
        </w:tc>
        <w:tc>
          <w:tcPr>
            <w:tcW w:w="1247" w:type="dxa"/>
          </w:tcPr>
          <w:p>
            <w:pPr>
              <w:pStyle w:val="TableText"/>
            </w:pPr>
            <w:r>
              <w:t xml:space="preserve">skipped</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LGD-BP/00002/10-21-26 received</w:t>
            </w:r>
          </w:p>
        </w:tc>
        <w:tc>
          <w:tcPr>
            <w:tcW w:w="1247" w:type="dxa"/>
          </w:tcPr>
          <w:p>
            <w:pPr>
              <w:pStyle w:val="TableText"/>
            </w:pPr>
            <w:r>
              <w:t xml:space="preserve">skipped</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LGD-BP/00002/10-21-26 for Burial Permit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Payment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Burial Permit?</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LGD-BP/00002/10-21-26 completed</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Burial Permit document has been issued</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Burial Permit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657</w:t>
            </w:r>
          </w:p>
        </w:tc>
      </w:tr>
      <w:tr>
        <w:trPr>
          <w:cantSplit/>
        </w:trPr>
        <w:tc>
          <w:tcPr>
            <w:tcW w:w="2552" w:type="dxa"/>
          </w:tcPr>
          <w:p>
            <w:pPr>
              <w:pStyle w:val="TableText"/>
            </w:pPr>
            <w:r>
              <w:rPr>
                <w:b/>
                <w:bCs/>
              </w:rPr>
              <w:t xml:space="preserve">Legacy provider</w:t>
            </w:r>
          </w:p>
        </w:tc>
        <w:tc>
          <w:tcPr>
            <w:tcW w:w="7088" w:type="dxa"/>
          </w:tcPr>
          <w:p>
            <w:pPr>
              <w:pStyle w:val="TableText"/>
            </w:pPr>
            <w:r>
              <w:t xml:space="preserve">Department of Local Government (LGD) under Ministry of Local Government and Rural Development</w:t>
            </w:r>
          </w:p>
        </w:tc>
      </w:tr>
      <w:tr>
        <w:trPr>
          <w:cantSplit/>
        </w:trPr>
        <w:tc>
          <w:tcPr>
            <w:tcW w:w="2552" w:type="dxa"/>
          </w:tcPr>
          <w:p>
            <w:pPr>
              <w:pStyle w:val="TableText"/>
            </w:pPr>
            <w:r>
              <w:rPr>
                <w:b/>
                <w:bCs/>
              </w:rPr>
              <w:t xml:space="preserve">Legacy process</w:t>
            </w:r>
          </w:p>
        </w:tc>
        <w:tc>
          <w:tcPr>
            <w:tcW w:w="7088" w:type="dxa"/>
          </w:tcPr>
          <w:p>
            <w:pPr>
              <w:pStyle w:val="TableText"/>
            </w:pPr>
            <w:r>
              <w:t xml:space="preserve">not recorded</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none</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not recorded</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Burial Permit: ZIGS_Forms_ECouncil / BurialPermit.Certificate</w:t>
            </w:r>
            <w:r>
              <w:br/>
              <w:t xml:space="preserve">GS-1 Application for a Government Service: ZIGS_Forms_ZDA / GS1</w:t>
            </w:r>
            <w:r>
              <w:br/>
              <w:t xml:space="preserve">GS-2 Notice of Government Action: ZIGS_Forms_Notices / GS-2.NoticeOfAction</w:t>
            </w:r>
          </w:p>
        </w:tc>
      </w:tr>
      <w:tr>
        <w:trPr>
          <w:cantSplit/>
        </w:trPr>
        <w:tc>
          <w:tcPr>
            <w:tcW w:w="2552" w:type="dxa"/>
          </w:tcPr>
          <w:p>
            <w:pPr>
              <w:pStyle w:val="TableText"/>
            </w:pPr>
            <w:r>
              <w:rPr>
                <w:b/>
                <w:bCs/>
              </w:rPr>
              <w:t xml:space="preserve">Legacy address</w:t>
            </w:r>
          </w:p>
        </w:tc>
        <w:tc>
          <w:tcPr>
            <w:tcW w:w="7088" w:type="dxa"/>
          </w:tcPr>
          <w:p>
            <w:pPr>
              <w:pStyle w:val="TableText"/>
            </w:pPr>
            <w:r>
              <w:t xml:space="preserve">https://ecouncils.gsb.gov.zm</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39fb88e4</w:t>
            </w:r>
          </w:p>
        </w:tc>
      </w:tr>
      <w:tr>
        <w:trPr>
          <w:cantSplit/>
        </w:trPr>
        <w:tc>
          <w:tcPr>
            <w:tcW w:w="2552" w:type="dxa"/>
          </w:tcPr>
          <w:p>
            <w:pPr>
              <w:pStyle w:val="TableText"/>
            </w:pPr>
            <w:r>
              <w:rPr>
                <w:b/>
                <w:bCs/>
              </w:rPr>
              <w:t xml:space="preserve">Generated</w:t>
            </w:r>
          </w:p>
        </w:tc>
        <w:tc>
          <w:tcPr>
            <w:tcW w:w="7088" w:type="dxa"/>
          </w:tcPr>
          <w:p>
            <w:pPr>
              <w:pStyle w:val="TableText"/>
            </w:pPr>
            <w:r>
              <w:t xml:space="preserve">2026-10-21T11:39:09Z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39fb88e4</w:t>
            </w:r>
            <w:r>
              <w:br/>
              <w:t xml:space="preserve">portal 72805f0</w:t>
            </w:r>
            <w:r>
              <w:br/>
              <w:t xml:space="preserve">back office 58e5946</w:t>
            </w:r>
          </w:p>
        </w:tc>
      </w:tr>
      <w:tr>
        <w:trPr>
          <w:cantSplit/>
        </w:trPr>
        <w:tc>
          <w:tcPr>
            <w:tcW w:w="2552" w:type="dxa"/>
          </w:tcPr>
          <w:p>
            <w:pPr>
              <w:pStyle w:val="TableText"/>
            </w:pPr>
            <w:r>
              <w:rPr>
                <w:b/>
                <w:bCs/>
              </w:rPr>
              <w:t xml:space="preserve">Test suite</w:t>
            </w:r>
          </w:p>
        </w:tc>
        <w:tc>
          <w:tcPr>
            <w:tcW w:w="7088" w:type="dxa"/>
          </w:tcPr>
          <w:p>
            <w:pPr>
              <w:pStyle w:val="TableText"/>
            </w:pPr>
            <w:r>
              <w:t xml:space="preserve">e2e 2f82c10;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Department of Local Government  ·  version service v1, platform 39fb88e4  ·  2026-10-21</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Burial Permit</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 Id="rIdImg25" Type="http://schemas.openxmlformats.org/officeDocument/2006/relationships/image" Target="media/img025.png"/><Relationship Id="rIdImg26" Type="http://schemas.openxmlformats.org/officeDocument/2006/relationships/image" Target="media/img026.png"/><Relationship Id="rIdImg27" Type="http://schemas.openxmlformats.org/officeDocument/2006/relationships/image" Target="media/img027.png"/><Relationship Id="rIdImg28" Type="http://schemas.openxmlformats.org/officeDocument/2006/relationships/image" Target="media/img028.png"/><Relationship Id="rIdImg29" Type="http://schemas.openxmlformats.org/officeDocument/2006/relationships/image" Target="media/img029.png"/><Relationship Id="rIdImg30" Type="http://schemas.openxmlformats.org/officeDocument/2006/relationships/image" Target="media/img030.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Burial Permit - service documentation</dc:title>
  <dc:subject>Department of Local Government</dc:subject>
  <dc:creator>GSB e-Services end-to-end suite</dc:creator>
  <cp:keywords>LGD/burial-permit</cp:keywords>
  <cp:revision>1</cp:revision>
  <dcterms:created xsi:type="dcterms:W3CDTF">2026-10-21T11:39:09Z</dcterms:created>
  <dcterms:modified xsi:type="dcterms:W3CDTF">2026-10-21T11:39:09Z</dcterms:modified>
</cp:coreProperties>
</file>