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Boilers and Air Receivers Authorisation</w:t>
      </w:r>
    </w:p>
    <w:p>
      <w:pPr>
        <w:pStyle w:val="Subtitle"/>
      </w:pPr>
      <w:r>
        <w:t xml:space="preserve">Service documentation</w:t>
      </w:r>
    </w:p>
    <w:p>
      <w:pPr>
        <w:pStyle w:val="CoverMeta"/>
      </w:pPr>
      <w:r>
        <w:t xml:space="preserve">Owner: Minerals Regulation Commission</w:t>
      </w:r>
    </w:p>
    <w:p>
      <w:pPr>
        <w:pStyle w:val="CoverMeta"/>
      </w:pPr>
      <w:r>
        <w:t xml:space="preserve">Service key: MSMS/boilers-and-air-receivers-authorisation</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Boilers and Air Receivers Authorisation service of Minerals Regulation Commission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Boilers and Air Receivers Authorisation</w:t>
            </w:r>
          </w:p>
        </w:tc>
      </w:tr>
      <w:tr>
        <w:trPr>
          <w:cantSplit/>
        </w:trPr>
        <w:tc>
          <w:tcPr>
            <w:tcW w:w="2552" w:type="dxa"/>
          </w:tcPr>
          <w:p>
            <w:pPr>
              <w:pStyle w:val="TableText"/>
            </w:pPr>
            <w:r>
              <w:rPr>
                <w:b/>
                <w:bCs/>
              </w:rPr>
              <w:t xml:space="preserve">Owner (MDA)</w:t>
            </w:r>
          </w:p>
        </w:tc>
        <w:tc>
          <w:tcPr>
            <w:tcW w:w="7088" w:type="dxa"/>
          </w:tcPr>
          <w:p>
            <w:pPr>
              <w:pStyle w:val="TableText"/>
            </w:pPr>
            <w:r>
              <w:t xml:space="preserve">Minerals Regulation Commission (MSMS)</w:t>
            </w:r>
          </w:p>
        </w:tc>
      </w:tr>
      <w:tr>
        <w:trPr>
          <w:cantSplit/>
        </w:trPr>
        <w:tc>
          <w:tcPr>
            <w:tcW w:w="2552" w:type="dxa"/>
          </w:tcPr>
          <w:p>
            <w:pPr>
              <w:pStyle w:val="TableText"/>
            </w:pPr>
            <w:r>
              <w:rPr>
                <w:b/>
                <w:bCs/>
              </w:rPr>
              <w:t xml:space="preserve">Purpose</w:t>
            </w:r>
          </w:p>
        </w:tc>
        <w:tc>
          <w:tcPr>
            <w:tcW w:w="7088" w:type="dxa"/>
          </w:tcPr>
          <w:p>
            <w:pPr>
              <w:pStyle w:val="TableText"/>
            </w:pPr>
            <w:r>
              <w:t xml:space="preserve">This is an Approval given to a Mining Company/Processing Plants/Explosive Manufacturing Plants authorizing the use of Boilers and Air Receivers</w:t>
            </w:r>
          </w:p>
        </w:tc>
      </w:tr>
      <w:tr>
        <w:trPr>
          <w:cantSplit/>
        </w:trPr>
        <w:tc>
          <w:tcPr>
            <w:tcW w:w="2552" w:type="dxa"/>
          </w:tcPr>
          <w:p>
            <w:pPr>
              <w:pStyle w:val="TableText"/>
            </w:pPr>
            <w:r>
              <w:rPr>
                <w:b/>
                <w:bCs/>
              </w:rPr>
              <w:t xml:space="preserve">Who can apply</w:t>
            </w:r>
          </w:p>
        </w:tc>
        <w:tc>
          <w:tcPr>
            <w:tcW w:w="7088" w:type="dxa"/>
          </w:tcPr>
          <w:p>
            <w:pPr>
              <w:pStyle w:val="TableText"/>
            </w:pPr>
            <w:r>
              <w:t xml:space="preserve">Not set in the service configuration.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Not set in the service configuration.</w:t>
            </w:r>
          </w:p>
        </w:tc>
      </w:tr>
      <w:tr>
        <w:trPr>
          <w:cantSplit/>
        </w:trPr>
        <w:tc>
          <w:tcPr>
            <w:tcW w:w="2552" w:type="dxa"/>
          </w:tcPr>
          <w:p>
            <w:pPr>
              <w:pStyle w:val="TableText"/>
            </w:pPr>
            <w:r>
              <w:rPr>
                <w:b/>
                <w:bCs/>
              </w:rPr>
              <w:t xml:space="preserve">Turnaround</w:t>
            </w:r>
          </w:p>
        </w:tc>
        <w:tc>
          <w:tcPr>
            <w:tcW w:w="7088" w:type="dxa"/>
          </w:tcPr>
          <w:p>
            <w:pPr>
              <w:pStyle w:val="TableText"/>
            </w:pPr>
            <w:r>
              <w:t xml:space="preserve">Not set in the service configuration.</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Not applicable</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None</w:t>
            </w:r>
          </w:p>
        </w:tc>
      </w:tr>
      <w:tr>
        <w:trPr>
          <w:cantSplit/>
        </w:trPr>
        <w:tc>
          <w:tcPr>
            <w:tcW w:w="2552" w:type="dxa"/>
          </w:tcPr>
          <w:p>
            <w:pPr>
              <w:pStyle w:val="TableText"/>
            </w:pPr>
            <w:r>
              <w:rPr>
                <w:b/>
                <w:bCs/>
              </w:rPr>
              <w:t xml:space="preserve">Output documents</w:t>
            </w:r>
          </w:p>
        </w:tc>
        <w:tc>
          <w:tcPr>
            <w:tcW w:w="7088" w:type="dxa"/>
          </w:tcPr>
          <w:p>
            <w:pPr>
              <w:pStyle w:val="TableText"/>
            </w:pPr>
            <w:r>
              <w:t xml:space="preserve">Boilers and Air Receivers Authorisation</w:t>
            </w:r>
            <w:r>
              <w:br/>
              <w:t xml:space="preserve">Boilers and Air Receivers Authorisation</w:t>
            </w:r>
            <w:r>
              <w:br/>
              <w:t xml:space="preserve">GS-1 Application for a Government Service</w:t>
            </w:r>
            <w:r>
              <w:br/>
              <w:t xml:space="preserve">GS-2 Notice of Government Action</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3</w:t>
            </w:r>
          </w:p>
        </w:tc>
        <w:tc>
          <w:tcPr>
            <w:tcW w:w="2268" w:type="dxa"/>
          </w:tcPr>
          <w:p>
            <w:pPr>
              <w:pStyle w:val="TableText"/>
            </w:pPr>
            <w:r>
              <w:t xml:space="preserve">Supervisor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4</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5</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6</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7</w:t>
            </w:r>
          </w:p>
        </w:tc>
        <w:tc>
          <w:tcPr>
            <w:tcW w:w="2268" w:type="dxa"/>
          </w:tcPr>
          <w:p>
            <w:pPr>
              <w:pStyle w:val="TableText"/>
            </w:pPr>
            <w:r>
              <w:t xml:space="preserve">Executive</w:t>
            </w:r>
          </w:p>
        </w:tc>
        <w:tc>
          <w:tcPr>
            <w:tcW w:w="4026" w:type="dxa"/>
          </w:tcPr>
          <w:p>
            <w:pPr>
              <w:pStyle w:val="TableText"/>
            </w:pPr>
            <w:r>
              <w:t xml:space="preserve">Approve</w:t>
            </w:r>
          </w:p>
        </w:tc>
        <w:tc>
          <w:tcPr>
            <w:tcW w:w="2552" w:type="dxa"/>
          </w:tcPr>
          <w:p>
            <w:pPr>
              <w:pStyle w:val="TableText"/>
            </w:pPr>
            <w:r>
              <w:t xml:space="preserve">approve</w:t>
            </w:r>
          </w:p>
        </w:tc>
      </w:tr>
      <w:tr>
        <w:trPr>
          <w:cantSplit/>
        </w:trPr>
        <w:tc>
          <w:tcPr>
            <w:tcW w:w="794" w:type="dxa"/>
          </w:tcPr>
          <w:p>
            <w:pPr>
              <w:pStyle w:val="TableText"/>
            </w:pPr>
            <w:r>
              <w:t xml:space="preserve">8</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9</w:t>
            </w:r>
          </w:p>
        </w:tc>
        <w:tc>
          <w:tcPr>
            <w:tcW w:w="2268" w:type="dxa"/>
          </w:tcPr>
          <w:p>
            <w:pPr>
              <w:pStyle w:val="TableText"/>
            </w:pPr>
            <w:r>
              <w:t xml:space="preserve">Case Officer</w:t>
            </w:r>
          </w:p>
        </w:tc>
        <w:tc>
          <w:tcPr>
            <w:tcW w:w="4026" w:type="dxa"/>
          </w:tcPr>
          <w:p>
            <w:pPr>
              <w:pStyle w:val="TableText"/>
            </w:pPr>
            <w:r>
              <w:t xml:space="preserve">Approve</w:t>
            </w:r>
          </w:p>
        </w:tc>
        <w:tc>
          <w:tcPr>
            <w:tcW w:w="2552" w:type="dxa"/>
          </w:tcPr>
          <w:p>
            <w:pPr>
              <w:pStyle w:val="TableText"/>
            </w:pPr>
            <w:r>
              <w:t xml:space="preserve">approve</w:t>
            </w:r>
          </w:p>
        </w:tc>
      </w:tr>
      <w:tr>
        <w:trPr>
          <w:cantSplit/>
        </w:trPr>
        <w:tc>
          <w:tcPr>
            <w:tcW w:w="794" w:type="dxa"/>
          </w:tcPr>
          <w:p>
            <w:pPr>
              <w:pStyle w:val="TableText"/>
            </w:pPr>
            <w:r>
              <w:t xml:space="preserve">10</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11</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Supervisor, Executive,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("Boilers and Air Receivers Authorisation").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(12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6939619"/>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6939619"/>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The service asks for no supporting documents, so the citizen continues straight to the check of the answers.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7728351"/>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772835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(MSMS-BARA/00001/10-21-26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(Minerals Regulation Commission);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Fill in the certificate particulars</w:t>
      </w:r>
    </w:p>
    <w:p>
      <w:pPr>
        <w:keepNext/>
      </w:pPr>
      <w:r>
        <w:rPr>
          <w:i/>
          <w:iCs/>
        </w:rPr>
        <w:t xml:space="preserve">Case Officer · Back office</w:t>
      </w:r>
    </w:p>
    <w:p>
      <w:pPr>
        <w:keepNext/>
      </w:pPr>
      <w:r>
        <w:t xml:space="preserve">The issued document prints 14 fields that come from the office rather than from the application (Drawing no, Date examined, Service category, Registered office, Date of manufacture, Hydraulic date test, Air receiver capacity, Equipment manufacturer, Examination conditions, Max operating pressure, Equipment serial number, Hydraulic test pressure, Authorised working pressure, Equipment country of origin). The officer fills them in on the case's "Certificate particulars" tab before the document is issued (synthetic values in this run) and saves; once the document is issued they can no longer change.</w:t>
      </w:r>
    </w:p>
    <w:p>
      <w:pPr>
        <w:keepNext/>
        <w:spacing w:after="0"/>
        <w:jc w:val="center"/>
      </w:pPr>
      <w:r>
        <w:drawing>
          <wp:inline distT="0" distB="0" distL="0" distR="0">
            <wp:extent cx="5940000" cy="3913616"/>
            <wp:effectExtent l="0" t="0" r="0" b="0"/>
            <wp:docPr id="1016" name="img016.png" descr="Fill in the certificate particul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Fill in the certificate particulars"/>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Fill in the certificate particulars.</w:t>
      </w:r>
    </w:p>
    <w:p>
      <w:pPr>
        <w:pStyle w:val="Heading3"/>
        <w:keepNext/>
      </w:pPr>
      <w:r>
        <w:t xml:space="preserve">Step 10. Review, Inspect, Assign to Case Officer</w:t>
      </w:r>
    </w:p>
    <w:p>
      <w:pPr>
        <w:keepNext/>
      </w:pPr>
      <w:r>
        <w:rPr>
          <w:i/>
          <w:iCs/>
        </w:rPr>
        <w:t xml:space="preserve">Supervisor · Back office</w:t>
      </w:r>
    </w:p>
    <w:p>
      <w:pPr>
        <w:keepNext/>
      </w:pPr>
      <w:r>
        <w:t xml:space="preserve">The Supervisor works on "Review, Inspect, Assign to Case Officer" (review in the imported process), checks the application and its documents, and completes the step.</w:t>
      </w:r>
    </w:p>
    <w:p>
      <w:pPr>
        <w:keepNext/>
        <w:spacing w:after="0"/>
        <w:jc w:val="center"/>
      </w:pPr>
      <w:r>
        <w:drawing>
          <wp:inline distT="0" distB="0" distL="0" distR="0">
            <wp:extent cx="5940000" cy="3913616"/>
            <wp:effectExtent l="0" t="0" r="0" b="0"/>
            <wp:docPr id="1017" name="img017.png" descr="Review, Inspect, Assign to Case Offic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Review, Inspect, Assign to Case Officer"/>
                    <pic:cNvPicPr/>
                  </pic:nvPicPr>
                  <pic:blipFill>
                    <a:blip r:embed="rIdImg1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10: Review, Inspect, Assign to Case Officer.</w:t>
      </w:r>
    </w:p>
    <w:p>
      <w:pPr>
        <w:pStyle w:val="Heading3"/>
        <w:keepNext/>
      </w:pPr>
      <w:r>
        <w:t xml:space="preserve">Step 11. Receive, Inspect, Report Findings</w:t>
      </w:r>
    </w:p>
    <w:p>
      <w:pPr>
        <w:keepNext/>
      </w:pPr>
      <w:r>
        <w:rPr>
          <w:i/>
          <w:iCs/>
        </w:rPr>
        <w:t xml:space="preserve">Case Officer · Back office</w:t>
      </w:r>
    </w:p>
    <w:p>
      <w:pPr>
        <w:keepNext/>
      </w:pPr>
      <w:r>
        <w:t xml:space="preserve">The Case Officer works on "Receive, Inspect, Report Findings" (review in the imported process), checks the application and its documents, and completes the step.</w:t>
      </w:r>
    </w:p>
    <w:p>
      <w:pPr>
        <w:keepNext/>
        <w:spacing w:after="0"/>
        <w:jc w:val="center"/>
      </w:pPr>
      <w:r>
        <w:drawing>
          <wp:inline distT="0" distB="0" distL="0" distR="0">
            <wp:extent cx="5940000" cy="3913616"/>
            <wp:effectExtent l="0" t="0" r="0" b="0"/>
            <wp:docPr id="1018" name="img018.png" descr="Receive, Inspect, Report Find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Receive, Inspect, Report Findings"/>
                    <pic:cNvPicPr/>
                  </pic:nvPicPr>
                  <pic:blipFill>
                    <a:blip r:embed="rIdImg18"/>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Receive, Inspect, Report Findings.</w:t>
      </w:r>
    </w:p>
    <w:p>
      <w:pPr>
        <w:pStyle w:val="Heading3"/>
        <w:keepNext/>
      </w:pPr>
      <w:r>
        <w:t xml:space="preserve">Step 12. Draft Payment</w:t>
      </w:r>
    </w:p>
    <w:p>
      <w:pPr>
        <w:keepNext/>
      </w:pPr>
      <w:r>
        <w:rPr>
          <w:i/>
          <w:iCs/>
        </w:rPr>
        <w:t xml:space="preserve">Case Officer · Back office</w:t>
      </w:r>
    </w:p>
    <w:p>
      <w:pPr>
        <w:keepNext/>
      </w:pPr>
      <w:r>
        <w:t xml:space="preserve">The Case Officer works on "Draft Payment" (review in the imported process), checks the application and its documents, and completes the step.</w:t>
      </w:r>
    </w:p>
    <w:p>
      <w:pPr>
        <w:keepNext/>
        <w:spacing w:after="0"/>
        <w:jc w:val="center"/>
      </w:pPr>
      <w:r>
        <w:drawing>
          <wp:inline distT="0" distB="0" distL="0" distR="0">
            <wp:extent cx="5940000" cy="3913616"/>
            <wp:effectExtent l="0" t="0" r="0" b="0"/>
            <wp:docPr id="1019" name="img019.png" descr="Draft Pay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Draft Payment"/>
                    <pic:cNvPicPr/>
                  </pic:nvPicPr>
                  <pic:blipFill>
                    <a:blip r:embed="rIdImg19"/>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Draft Payment.</w:t>
      </w:r>
    </w:p>
    <w:p>
      <w:pPr>
        <w:pStyle w:val="Heading3"/>
        <w:keepNext/>
      </w:pPr>
      <w:r>
        <w:t xml:space="preserve">Step 13. Request Director's Authority to Inspect</w:t>
      </w:r>
    </w:p>
    <w:p>
      <w:pPr>
        <w:keepNext/>
      </w:pPr>
      <w:r>
        <w:rPr>
          <w:i/>
          <w:iCs/>
        </w:rPr>
        <w:t xml:space="preserve">Case Officer · Back office</w:t>
      </w:r>
    </w:p>
    <w:p>
      <w:pPr>
        <w:keepNext/>
      </w:pPr>
      <w:r>
        <w:t xml:space="preserve">The Case Officer works on "Request Director's Authority to Inspect" (review in the imported process), checks the application and its documents, and completes the step.</w:t>
      </w:r>
    </w:p>
    <w:p>
      <w:pPr>
        <w:keepNext/>
        <w:spacing w:after="0"/>
        <w:jc w:val="center"/>
      </w:pPr>
      <w:r>
        <w:drawing>
          <wp:inline distT="0" distB="0" distL="0" distR="0">
            <wp:extent cx="5940000" cy="3913616"/>
            <wp:effectExtent l="0" t="0" r="0" b="0"/>
            <wp:docPr id="1020" name="img020.png" descr="Request Director's Authority to Insp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Request Director's Authority to Inspect"/>
                    <pic:cNvPicPr/>
                  </pic:nvPicPr>
                  <pic:blipFill>
                    <a:blip r:embed="rIdImg20"/>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Request Director's Authority to Inspect.</w:t>
      </w:r>
    </w:p>
    <w:p>
      <w:pPr>
        <w:pStyle w:val="Heading3"/>
        <w:keepNext/>
      </w:pPr>
      <w:r>
        <w:t xml:space="preserve">Step 14. Decide: Review the request, Approve</w:t>
      </w:r>
    </w:p>
    <w:p>
      <w:pPr>
        <w:keepNext/>
      </w:pPr>
      <w:r>
        <w:rPr>
          <w:i/>
          <w:iCs/>
        </w:rPr>
        <w:t xml:space="preserve">Executive · Back office</w:t>
      </w:r>
    </w:p>
    <w:p>
      <w:pPr>
        <w:keepNext/>
      </w:pPr>
      <w:r>
        <w:t xml:space="preserve">At "Review the request, Approve"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1" name="img021.png" descr="Decide: Review the request, Appro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Decide: Review the request, Approve"/>
                    <pic:cNvPicPr/>
                  </pic:nvPicPr>
                  <pic:blipFill>
                    <a:blip r:embed="rIdImg21"/>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Decide: Review the request, Approve.</w:t>
      </w:r>
    </w:p>
    <w:p>
      <w:pPr>
        <w:pStyle w:val="Heading3"/>
        <w:keepNext/>
      </w:pPr>
      <w:r>
        <w:t xml:space="preserve">Step 15. Inspect, Draft Certificate and Conditions, Send for Signature</w:t>
      </w:r>
    </w:p>
    <w:p>
      <w:pPr>
        <w:keepNext/>
      </w:pPr>
      <w:r>
        <w:rPr>
          <w:i/>
          <w:iCs/>
        </w:rPr>
        <w:t xml:space="preserve">Case Officer · Back office</w:t>
      </w:r>
    </w:p>
    <w:p>
      <w:pPr>
        <w:keepNext/>
      </w:pPr>
      <w:r>
        <w:t xml:space="preserve">The Case Officer works on "Inspect, Draft Certificate and Conditions, Send for Signature" (review in the imported process), checks the application and its documents, and completes the step.</w:t>
      </w:r>
    </w:p>
    <w:p>
      <w:pPr>
        <w:keepNext/>
        <w:spacing w:after="0"/>
        <w:jc w:val="center"/>
      </w:pPr>
      <w:r>
        <w:drawing>
          <wp:inline distT="0" distB="0" distL="0" distR="0">
            <wp:extent cx="5940000" cy="3913616"/>
            <wp:effectExtent l="0" t="0" r="0" b="0"/>
            <wp:docPr id="1022" name="img022.png" descr="Inspect, Draft Certificate and Conditions, Send fo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Inspect, Draft Certificate and Conditions, Send for Signature"/>
                    <pic:cNvPicPr/>
                  </pic:nvPicPr>
                  <pic:blipFill>
                    <a:blip r:embed="rIdImg22"/>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15: Inspect, Draft Certificate and Conditions, Send for Signature.</w:t>
      </w:r>
    </w:p>
    <w:p>
      <w:pPr>
        <w:pStyle w:val="Heading3"/>
        <w:keepNext/>
      </w:pPr>
      <w:r>
        <w:t xml:space="preserve">Step 16. Decide: Review, e-Sign and Complete</w:t>
      </w:r>
    </w:p>
    <w:p>
      <w:pPr>
        <w:keepNext/>
      </w:pPr>
      <w:r>
        <w:rPr>
          <w:i/>
          <w:iCs/>
        </w:rPr>
        <w:t xml:space="preserve">Case Officer · Back office</w:t>
      </w:r>
    </w:p>
    <w:p>
      <w:pPr>
        <w:keepNext/>
      </w:pPr>
      <w:r>
        <w:t xml:space="preserve">At "Review, e-Sign and Complete" the Case Officer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3" name="img023.png" descr="Decide: Review, e-Sign and Compl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Decide: Review, e-Sign and Complete"/>
                    <pic:cNvPicPr/>
                  </pic:nvPicPr>
                  <pic:blipFill>
                    <a:blip r:embed="rIdImg23"/>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16: Decide: Review, e-Sign and Complete.</w:t>
      </w:r>
    </w:p>
    <w:p>
      <w:pPr>
        <w:pStyle w:val="Heading3"/>
        <w:keepNext/>
      </w:pPr>
      <w:r>
        <w:t xml:space="preserve">Step 17. Issue the document</w:t>
      </w:r>
    </w:p>
    <w:p>
      <w:pPr>
        <w:keepNext/>
      </w:pPr>
      <w:r>
        <w:rPr>
          <w:i/>
          <w:iCs/>
        </w:rPr>
        <w:t xml:space="preserve">Case Officer · Back office</w:t>
      </w:r>
    </w:p>
    <w:p>
      <w:pPr>
        <w:keepNext/>
      </w:pPr>
      <w:r>
        <w:t xml:space="preserve">The service's validity ("not stated") is not a fixed period, so completing the case does not issue the document by itself: the officer issues it from the completed case ("Issue / check permit"). It is generated from the service's output configuration and sealed.</w:t>
      </w:r>
    </w:p>
    <w:p>
      <w:pPr>
        <w:keepNext/>
        <w:spacing w:after="0"/>
        <w:jc w:val="center"/>
      </w:pPr>
      <w:r>
        <w:drawing>
          <wp:inline distT="0" distB="0" distL="0" distR="0">
            <wp:extent cx="5940000" cy="3913616"/>
            <wp:effectExtent l="0" t="0" r="0" b="0"/>
            <wp:docPr id="1024" name="img024.png" descr="Issue the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Issue the document"/>
                    <pic:cNvPicPr/>
                  </pic:nvPicPr>
                  <pic:blipFill>
                    <a:blip r:embed="rIdImg24"/>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17: Issue the document.</w:t>
      </w:r>
    </w:p>
    <w:p>
      <w:pPr>
        <w:pStyle w:val="Heading3"/>
        <w:keepNext/>
      </w:pPr>
      <w:r>
        <w:t xml:space="preserve">Step 18. The document in My permits</w:t>
      </w:r>
    </w:p>
    <w:p>
      <w:pPr>
        <w:keepNext/>
      </w:pPr>
      <w:r>
        <w:rPr>
          <w:i/>
          <w:iCs/>
        </w:rPr>
        <w:t xml:space="preserve">Citizen · National e-Services portal</w:t>
      </w:r>
    </w:p>
    <w:p>
      <w:pPr>
        <w:keepNext/>
      </w:pPr>
      <w:r>
        <w:t xml:space="preserve">The issued document (MSMS-BARA-2026-00001 in this run: "Boilers and Air Receivers Authorisation")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5" name="img025.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The document in My permits - desktop"/>
                          <pic:cNvPicPr/>
                        </pic:nvPicPr>
                        <pic:blipFill>
                          <a:blip r:embed="rIdImg2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6" name="img026.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The document in My permits - 375 px phone"/>
                          <pic:cNvPicPr/>
                        </pic:nvPicPr>
                        <pic:blipFill>
                          <a:blip r:embed="rIdImg2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18: The document in My permits - desktop (left) and a 375 px phone (right).</w:t>
      </w:r>
    </w:p>
    <w:p>
      <w:pPr>
        <w:pStyle w:val="Heading3"/>
        <w:keepNext/>
      </w:pPr>
      <w:r>
        <w:t xml:space="preserve">Step 19.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7" name="img027.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Verify the document - desktop"/>
                          <pic:cNvPicPr/>
                        </pic:nvPicPr>
                        <pic:blipFill>
                          <a:blip r:embed="rIdImg2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8" name="img028.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g028.png" descr="Verify the document - 375 px phone"/>
                          <pic:cNvPicPr/>
                        </pic:nvPicPr>
                        <pic:blipFill>
                          <a:blip r:embed="rIdImg2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19: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none</w:t>
            </w:r>
          </w:p>
        </w:tc>
      </w:tr>
    </w:tbl>
    <w:p>
      <w:pPr>
        <w:pStyle w:val="Heading1"/>
        <w:keepNext/>
      </w:pPr>
      <w:r>
        <w:t xml:space="preserve">4. Output documents</w:t>
      </w:r>
    </w:p>
    <w:p>
      <w:pPr>
        <w:pStyle w:val="Heading2"/>
        <w:keepNext/>
      </w:pPr>
      <w:r>
        <w:t xml:space="preserve">Boilers and Air Receivers Authorisation (sealed PDF)</w:t>
      </w:r>
    </w:p>
    <w:p>
      <w:r>
        <w:t xml:space="preserve">Issued when the case was approved, from the service's output configuration (service template MSMS.BoilersAirReceiversAuthorisation.Certi),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6365163"/>
            <wp:effectExtent l="0" t="0" r="0" b="0"/>
            <wp:docPr id="1029" name="img029.png" descr="Boilers and Air Receivers Authorisation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img029.png" descr="Boilers and Air Receivers Authorisation (sealed PDF)"/>
                    <pic:cNvPicPr/>
                  </pic:nvPicPr>
                  <pic:blipFill>
                    <a:blip r:embed="rIdImg29"/>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Boilers and Air Receivers Authorisation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Boilers and Air Receivers Authorisation</w:t>
            </w:r>
          </w:p>
        </w:tc>
      </w:tr>
      <w:tr>
        <w:trPr>
          <w:cantSplit/>
        </w:trPr>
        <w:tc>
          <w:tcPr>
            <w:tcW w:w="2835" w:type="dxa"/>
          </w:tcPr>
          <w:p>
            <w:pPr>
              <w:pStyle w:val="TableText"/>
            </w:pPr>
            <w:r>
              <w:t xml:space="preserve">Permit / licence number</w:t>
            </w:r>
          </w:p>
        </w:tc>
        <w:tc>
          <w:tcPr>
            <w:tcW w:w="6804" w:type="dxa"/>
          </w:tcPr>
          <w:p>
            <w:pPr>
              <w:pStyle w:val="TableText"/>
            </w:pPr>
            <w:r>
              <w:t xml:space="preserve">MSMS-BARA-2026-00001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JPHA-D7UT-BP</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2026-10-21T08:35:06.215Z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2026-10-21T08:35:06.194Z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1b35ba5bd27ea452...</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17 (Issue the document), step 18 (The document in My permits), step 19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MSMS-BARA/00001/10-21-26 received - Your application MSMS-BARA/00001/10-21-26 for Boilers and Air Receivers Authorisation has been received by Minerals Regulation Commission.</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MSMS-BARA/00001/10-21-26 - MSMS-BARA/00001/10-21-26 (Boilers and Air Receivers Authorisation) is now: With the office - being reviewed.</w:t>
            </w:r>
          </w:p>
        </w:tc>
        <w:tc>
          <w:tcPr>
            <w:tcW w:w="1247" w:type="dxa"/>
          </w:tcPr>
          <w:p>
            <w:pPr>
              <w:pStyle w:val="TableText"/>
            </w:pPr>
            <w:r>
              <w:t xml:space="preserve">shown</w:t>
            </w:r>
          </w:p>
        </w:tc>
      </w:tr>
      <w:tr>
        <w:trPr>
          <w:cantSplit/>
        </w:trPr>
        <w:tc>
          <w:tcPr>
            <w:tcW w:w="1928" w:type="dxa"/>
          </w:tcPr>
          <w:p>
            <w:pPr>
              <w:pStyle w:val="TableText"/>
            </w:pPr>
            <w:r>
              <w:t xml:space="preserve">case.approved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MSMS-BARA/00001/10-21-26 approved - MSMS-BARA/00001/10-21-26 (Boilers and Air Receivers Authorisation) has been approved.</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Boilers and Air Receivers Authorisation? - How was Boilers and Air Receivers Authorisation?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MSMS-BARA/00001/10-21-26 completed - MSMS-BARA/00001/10-21-26 (Boilers and Air Receivers Authorisation)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Boilers and Air Receivers Authorisation document has been issued - MSMS-BARA-2026-00001 has been issued for Boilers and Air Receivers Authorisation.</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MSMS-BARA/00001/10-21-26 received</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MSMS-BARA/00001/10-21-26 for Boilers and Air Receivers Authorisation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case.approved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case.approved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MSMS-BARA/00001/10-21-26 approved</w:t>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Boilers and Air Receivers Authorisation?</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MSMS-BARA/00001/10-21-26 completed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Boilers and Air Receivers Authorisation document has been issued</w:t>
            </w:r>
          </w:p>
        </w:tc>
        <w:tc>
          <w:tcPr>
            <w:tcW w:w="1247" w:type="dxa"/>
          </w:tcPr>
          <w:p>
            <w:pPr>
              <w:pStyle w:val="TableText"/>
            </w:pPr>
            <w:r>
              <w:t xml:space="preserve">skipped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Boilers and Air Receivers Authorisation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494</w:t>
            </w:r>
          </w:p>
        </w:tc>
      </w:tr>
      <w:tr>
        <w:trPr>
          <w:cantSplit/>
        </w:trPr>
        <w:tc>
          <w:tcPr>
            <w:tcW w:w="2552" w:type="dxa"/>
          </w:tcPr>
          <w:p>
            <w:pPr>
              <w:pStyle w:val="TableText"/>
            </w:pPr>
            <w:r>
              <w:rPr>
                <w:b/>
                <w:bCs/>
              </w:rPr>
              <w:t xml:space="preserve">Legacy provider</w:t>
            </w:r>
          </w:p>
        </w:tc>
        <w:tc>
          <w:tcPr>
            <w:tcW w:w="7088" w:type="dxa"/>
          </w:tcPr>
          <w:p>
            <w:pPr>
              <w:pStyle w:val="TableText"/>
            </w:pPr>
            <w:r>
              <w:t xml:space="preserve">Minerals Regulation Commission (MSMS) under Ministry of Mines and Minerals Development</w:t>
            </w:r>
          </w:p>
        </w:tc>
      </w:tr>
      <w:tr>
        <w:trPr>
          <w:cantSplit/>
        </w:trPr>
        <w:tc>
          <w:tcPr>
            <w:tcW w:w="2552" w:type="dxa"/>
          </w:tcPr>
          <w:p>
            <w:pPr>
              <w:pStyle w:val="TableText"/>
            </w:pPr>
            <w:r>
              <w:rPr>
                <w:b/>
                <w:bCs/>
              </w:rPr>
              <w:t xml:space="preserve">Legacy process</w:t>
            </w:r>
          </w:p>
        </w:tc>
        <w:tc>
          <w:tcPr>
            <w:tcW w:w="7088" w:type="dxa"/>
          </w:tcPr>
          <w:p>
            <w:pPr>
              <w:pStyle w:val="TableText"/>
            </w:pPr>
            <w:r>
              <w:t xml:space="preserve">not recorded</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none</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not recorded</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Boilers and Air Receivers Authorisation: ZIGS_Forms_MSMS / MSMS.BoilersAirReceiversAuthorisation.Certificate</w:t>
            </w:r>
            <w:r>
              <w:br/>
              <w:t xml:space="preserve">Boilers and Air Receivers Authorisation: ZIGS_Forms_MSMS / MSMS.RenewalBoilersAirReceivers.Certificate</w:t>
            </w:r>
            <w:r>
              <w:br/>
              <w:t xml:space="preserve">GS-1 Application for a Government Service: ZIGS_Forms_ZDA / GS1</w:t>
            </w:r>
            <w:r>
              <w:br/>
              <w:t xml:space="preserve">GS-2 Notice of Government Action: ZIGS_Forms_Notices / GS-2.NoticeOfAction</w:t>
            </w:r>
          </w:p>
        </w:tc>
      </w:tr>
      <w:tr>
        <w:trPr>
          <w:cantSplit/>
        </w:trPr>
        <w:tc>
          <w:tcPr>
            <w:tcW w:w="2552" w:type="dxa"/>
          </w:tcPr>
          <w:p>
            <w:pPr>
              <w:pStyle w:val="TableText"/>
            </w:pPr>
            <w:r>
              <w:rPr>
                <w:b/>
                <w:bCs/>
              </w:rPr>
              <w:t xml:space="preserve">Legacy address</w:t>
            </w:r>
          </w:p>
        </w:tc>
        <w:tc>
          <w:tcPr>
            <w:tcW w:w="7088" w:type="dxa"/>
          </w:tcPr>
          <w:p>
            <w:pPr>
              <w:pStyle w:val="TableText"/>
            </w:pPr>
            <w:r>
              <w:t xml:space="preserve">https://minessafety.gsb.gov.zm</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2026-10-21T08:35:14Z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Minerals Regulation Commission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Boilers and Air Receivers Authorisation</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 Id="rIdImg28" Type="http://schemas.openxmlformats.org/officeDocument/2006/relationships/image" Target="media/img028.png"/><Relationship Id="rIdImg29" Type="http://schemas.openxmlformats.org/officeDocument/2006/relationships/image" Target="media/img029.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Boilers and Air Receivers Authorisation - service documentation</dc:title>
  <dc:subject>Minerals Regulation Commission</dc:subject>
  <dc:creator>GSB e-Services end-to-end suite</dc:creator>
  <cp:keywords>MSMS/boilers-and-air-receivers-authorisation</cp:keywords>
  <cp:revision>1</cp:revision>
  <dcterms:created xsi:type="dcterms:W3CDTF">2026-10-21T08:35:14Z</dcterms:created>
  <dcterms:modified xsi:type="dcterms:W3CDTF">2026-10-21T08:35:14Z</dcterms:modified>
</cp:coreProperties>
</file>