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Blasting Licence</w:t>
      </w:r>
    </w:p>
    <w:p>
      <w:pPr>
        <w:pStyle w:val="Subtitle"/>
      </w:pPr>
      <w:r>
        <w:t xml:space="preserve">Service documentation</w:t>
      </w:r>
    </w:p>
    <w:p>
      <w:pPr>
        <w:pStyle w:val="CoverMeta"/>
      </w:pPr>
      <w:r>
        <w:t xml:space="preserve">Owner: Minerals Regulation Commission</w:t>
      </w:r>
    </w:p>
    <w:p>
      <w:pPr>
        <w:pStyle w:val="CoverMeta"/>
      </w:pPr>
      <w:r>
        <w:t xml:space="preserve">Service key: MSMS/blasting-licence</w:t>
      </w:r>
    </w:p>
    <w:p>
      <w:pPr>
        <w:pStyle w:val="CoverMeta"/>
      </w:pPr>
      <w:r>
        <w:t xml:space="preserve">Version: service v1, platform a0a302b8</w:t>
      </w:r>
    </w:p>
    <w:p>
      <w:pPr>
        <w:pStyle w:val="CoverMeta"/>
      </w:pPr>
      <w:r>
        <w:t xml:space="preserve">Date: 2026-10-21</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Blasting Licence service of Minerals Regulation Commission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Blasting Licence</w:t>
            </w:r>
          </w:p>
        </w:tc>
      </w:tr>
      <w:tr>
        <w:trPr>
          <w:cantSplit/>
        </w:trPr>
        <w:tc>
          <w:tcPr>
            <w:tcW w:w="2552" w:type="dxa"/>
          </w:tcPr>
          <w:p>
            <w:pPr>
              <w:pStyle w:val="TableText"/>
            </w:pPr>
            <w:r>
              <w:rPr>
                <w:b/>
                <w:bCs/>
              </w:rPr>
              <w:t xml:space="preserve">Owner (MDA)</w:t>
            </w:r>
          </w:p>
        </w:tc>
        <w:tc>
          <w:tcPr>
            <w:tcW w:w="7088" w:type="dxa"/>
          </w:tcPr>
          <w:p>
            <w:pPr>
              <w:pStyle w:val="TableText"/>
            </w:pPr>
            <w:r>
              <w:t xml:space="preserve">Minerals Regulation Commission (MSMS)</w:t>
            </w:r>
          </w:p>
        </w:tc>
      </w:tr>
      <w:tr>
        <w:trPr>
          <w:cantSplit/>
        </w:trPr>
        <w:tc>
          <w:tcPr>
            <w:tcW w:w="2552" w:type="dxa"/>
          </w:tcPr>
          <w:p>
            <w:pPr>
              <w:pStyle w:val="TableText"/>
            </w:pPr>
            <w:r>
              <w:rPr>
                <w:b/>
                <w:bCs/>
              </w:rPr>
              <w:t xml:space="preserve">Purpose</w:t>
            </w:r>
          </w:p>
        </w:tc>
        <w:tc>
          <w:tcPr>
            <w:tcW w:w="7088" w:type="dxa"/>
          </w:tcPr>
          <w:p>
            <w:pPr>
              <w:pStyle w:val="TableText"/>
            </w:pPr>
            <w:r>
              <w:t xml:space="preserve">The service allows applicants to request and obtain the Blasting Licence, which allows the holder of the licence to use and handle explosives, under any special restrictions as to the purpose, place or period of use of the licence, as may be endorsed by the Inspector of Mines who issued the licence.</w:t>
            </w:r>
          </w:p>
        </w:tc>
      </w:tr>
      <w:tr>
        <w:trPr>
          <w:cantSplit/>
        </w:trPr>
        <w:tc>
          <w:tcPr>
            <w:tcW w:w="2552" w:type="dxa"/>
          </w:tcPr>
          <w:p>
            <w:pPr>
              <w:pStyle w:val="TableText"/>
            </w:pPr>
            <w:r>
              <w:rPr>
                <w:b/>
                <w:bCs/>
              </w:rPr>
              <w:t xml:space="preserve">Who can apply</w:t>
            </w:r>
          </w:p>
        </w:tc>
        <w:tc>
          <w:tcPr>
            <w:tcW w:w="7088" w:type="dxa"/>
          </w:tcPr>
          <w:p>
            <w:pPr>
              <w:pStyle w:val="TableText"/>
            </w:pPr>
            <w:r>
              <w:t xml:space="preserve">Not set in the service configuration.</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Not set in the service configuration.</w:t>
            </w:r>
          </w:p>
        </w:tc>
      </w:tr>
      <w:tr>
        <w:trPr>
          <w:cantSplit/>
        </w:trPr>
        <w:tc>
          <w:tcPr>
            <w:tcW w:w="2552" w:type="dxa"/>
          </w:tcPr>
          <w:p>
            <w:pPr>
              <w:pStyle w:val="TableText"/>
            </w:pPr>
            <w:r>
              <w:rPr>
                <w:b/>
                <w:bCs/>
              </w:rPr>
              <w:t xml:space="preserve">Turnaround</w:t>
            </w:r>
          </w:p>
        </w:tc>
        <w:tc>
          <w:tcPr>
            <w:tcW w:w="7088" w:type="dxa"/>
          </w:tcPr>
          <w:p>
            <w:pPr>
              <w:pStyle w:val="TableText"/>
            </w:pPr>
            <w:r>
              <w:t xml:space="preserve">Not set in the service configuration.</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Not applicable</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None</w:t>
            </w:r>
          </w:p>
        </w:tc>
      </w:tr>
      <w:tr>
        <w:trPr>
          <w:cantSplit/>
        </w:trPr>
        <w:tc>
          <w:tcPr>
            <w:tcW w:w="2552" w:type="dxa"/>
          </w:tcPr>
          <w:p>
            <w:pPr>
              <w:pStyle w:val="TableText"/>
            </w:pPr>
            <w:r>
              <w:rPr>
                <w:b/>
                <w:bCs/>
              </w:rPr>
              <w:t xml:space="preserve">Output documents</w:t>
            </w:r>
          </w:p>
        </w:tc>
        <w:tc>
          <w:tcPr>
            <w:tcW w:w="7088" w:type="dxa"/>
          </w:tcPr>
          <w:p>
            <w:pPr>
              <w:pStyle w:val="TableText"/>
            </w:pPr>
            <w:r>
              <w:t xml:space="preserve">Blasting Licence</w:t>
            </w:r>
            <w:r>
              <w:br/>
              <w:t xml:space="preserve">Blasting Licence</w:t>
            </w:r>
            <w:r>
              <w:br/>
              <w:t xml:space="preserve">GS-1 Application for a Government Service</w:t>
            </w:r>
            <w:r>
              <w:br/>
              <w:t xml:space="preserve">GS-2 Notice of Government Action</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3</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4</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5</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6</w:t>
            </w:r>
          </w:p>
        </w:tc>
        <w:tc>
          <w:tcPr>
            <w:tcW w:w="2268" w:type="dxa"/>
          </w:tcPr>
          <w:p>
            <w:pPr>
              <w:pStyle w:val="TableText"/>
            </w:pPr>
            <w:r>
              <w:t xml:space="preserve">Case Officer</w:t>
            </w:r>
          </w:p>
        </w:tc>
        <w:tc>
          <w:tcPr>
            <w:tcW w:w="4026" w:type="dxa"/>
          </w:tcPr>
          <w:p>
            <w:pPr>
              <w:pStyle w:val="TableText"/>
            </w:pPr>
            <w:r>
              <w:t xml:space="preserve">Approve</w:t>
            </w:r>
          </w:p>
        </w:tc>
        <w:tc>
          <w:tcPr>
            <w:tcW w:w="2552" w:type="dxa"/>
          </w:tcPr>
          <w:p>
            <w:pPr>
              <w:pStyle w:val="TableText"/>
            </w:pPr>
            <w:r>
              <w:t xml:space="preserve">approve</w:t>
            </w:r>
          </w:p>
        </w:tc>
      </w:tr>
      <w:tr>
        <w:trPr>
          <w:cantSplit/>
        </w:trPr>
        <w:tc>
          <w:tcPr>
            <w:tcW w:w="794" w:type="dxa"/>
          </w:tcPr>
          <w:p>
            <w:pPr>
              <w:pStyle w:val="TableText"/>
            </w:pPr>
            <w:r>
              <w:t xml:space="preserve">7</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8</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Anyone (public).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("Blasting Licence").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(21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10339116"/>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10339116"/>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The service asks for no supporting documents, so the citizen continues straight to the check of the answers.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8721909"/>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8721909"/>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(MSMS-BL/00001/10-21-26 in this run). The application goes to the ministry's officers; the citizen follows it in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Take the new application on</w:t>
      </w:r>
    </w:p>
    <w:p>
      <w:pPr>
        <w:keepNext/>
      </w:pPr>
      <w:r>
        <w:rPr>
          <w:i/>
          <w:iCs/>
        </w:rPr>
        <w:t xml:space="preserve">Case Officer · Back office</w:t>
      </w:r>
    </w:p>
    <w:p>
      <w:pPr>
        <w:keepNext/>
      </w:pPr>
      <w:r>
        <w:t xml:space="preserve">The application arrives in the case queue of the ministry that owns the service (Minerals Regulation Commission);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15" name="img015.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Take the new application on"/>
                    <pic:cNvPicPr/>
                  </pic:nvPicPr>
                  <pic:blipFill>
                    <a:blip r:embed="rIdImg1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8: Take the new application on.</w:t>
      </w:r>
    </w:p>
    <w:p>
      <w:pPr>
        <w:pStyle w:val="Heading3"/>
        <w:keepNext/>
      </w:pPr>
      <w:r>
        <w:t xml:space="preserve">Step 9. Fill in the certificate particulars</w:t>
      </w:r>
    </w:p>
    <w:p>
      <w:pPr>
        <w:keepNext/>
      </w:pPr>
      <w:r>
        <w:rPr>
          <w:i/>
          <w:iCs/>
        </w:rPr>
        <w:t xml:space="preserve">Case Officer · Back office</w:t>
      </w:r>
    </w:p>
    <w:p>
      <w:pPr>
        <w:keepNext/>
      </w:pPr>
      <w:r>
        <w:t xml:space="preserve">The issued document prints 2 fields that come from the office rather than from the application (Candidate photo, Service category f). The officer fills them in on the case's "Certificate particulars" tab before the document is issued (synthetic values in this run) and saves; once the document is issued they can no longer change.</w:t>
      </w:r>
    </w:p>
    <w:p>
      <w:pPr>
        <w:keepNext/>
        <w:spacing w:after="0"/>
        <w:jc w:val="center"/>
      </w:pPr>
      <w:r>
        <w:drawing>
          <wp:inline distT="0" distB="0" distL="0" distR="0">
            <wp:extent cx="5940000" cy="3913616"/>
            <wp:effectExtent l="0" t="0" r="0" b="0"/>
            <wp:docPr id="1016" name="img016.png" descr="Fill in the certificate particul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Fill in the certificate particulars"/>
                    <pic:cNvPicPr/>
                  </pic:nvPicPr>
                  <pic:blipFill>
                    <a:blip r:embed="rIdImg1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9: Fill in the certificate particulars.</w:t>
      </w:r>
    </w:p>
    <w:p>
      <w:pPr>
        <w:pStyle w:val="Heading3"/>
        <w:keepNext/>
      </w:pPr>
      <w:r>
        <w:t xml:space="preserve">Step 10. Receive, Inspect, Report Findings</w:t>
      </w:r>
    </w:p>
    <w:p>
      <w:pPr>
        <w:keepNext/>
      </w:pPr>
      <w:r>
        <w:rPr>
          <w:i/>
          <w:iCs/>
        </w:rPr>
        <w:t xml:space="preserve">Case Officer · Back office</w:t>
      </w:r>
    </w:p>
    <w:p>
      <w:pPr>
        <w:keepNext/>
      </w:pPr>
      <w:r>
        <w:t xml:space="preserve">The Case Officer works on "Receive, Inspect, Report Findings" (review in the imported process), checks the application and its documents, and completes the step.</w:t>
      </w:r>
    </w:p>
    <w:p>
      <w:pPr>
        <w:keepNext/>
        <w:spacing w:after="0"/>
        <w:jc w:val="center"/>
      </w:pPr>
      <w:r>
        <w:drawing>
          <wp:inline distT="0" distB="0" distL="0" distR="0">
            <wp:extent cx="5940000" cy="3913616"/>
            <wp:effectExtent l="0" t="0" r="0" b="0"/>
            <wp:docPr id="1017" name="img017.png" descr="Receive, Inspect, Report Find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Receive, Inspect, Report Findings"/>
                    <pic:cNvPicPr/>
                  </pic:nvPicPr>
                  <pic:blipFill>
                    <a:blip r:embed="rIdImg17"/>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10: Receive, Inspect, Report Findings.</w:t>
      </w:r>
    </w:p>
    <w:p>
      <w:pPr>
        <w:pStyle w:val="Heading3"/>
        <w:keepNext/>
      </w:pPr>
      <w:r>
        <w:t xml:space="preserve">Step 11. Draft Payment</w:t>
      </w:r>
    </w:p>
    <w:p>
      <w:pPr>
        <w:keepNext/>
      </w:pPr>
      <w:r>
        <w:rPr>
          <w:i/>
          <w:iCs/>
        </w:rPr>
        <w:t xml:space="preserve">Case Officer · Back office</w:t>
      </w:r>
    </w:p>
    <w:p>
      <w:pPr>
        <w:keepNext/>
      </w:pPr>
      <w:r>
        <w:t xml:space="preserve">The Case Officer works on "Draft Payment" (review in the imported process), checks the application and its documents, and completes the step.</w:t>
      </w:r>
    </w:p>
    <w:p>
      <w:pPr>
        <w:keepNext/>
        <w:spacing w:after="0"/>
        <w:jc w:val="center"/>
      </w:pPr>
      <w:r>
        <w:drawing>
          <wp:inline distT="0" distB="0" distL="0" distR="0">
            <wp:extent cx="5940000" cy="3913616"/>
            <wp:effectExtent l="0" t="0" r="0" b="0"/>
            <wp:docPr id="1018" name="img018.png" descr="Draft Pay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Draft Payment"/>
                    <pic:cNvPicPr/>
                  </pic:nvPicPr>
                  <pic:blipFill>
                    <a:blip r:embed="rIdImg18"/>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11: Draft Payment.</w:t>
      </w:r>
    </w:p>
    <w:p>
      <w:pPr>
        <w:pStyle w:val="Heading3"/>
        <w:keepNext/>
      </w:pPr>
      <w:r>
        <w:t xml:space="preserve">Step 12. Schedule Examination</w:t>
      </w:r>
    </w:p>
    <w:p>
      <w:pPr>
        <w:keepNext/>
      </w:pPr>
      <w:r>
        <w:rPr>
          <w:i/>
          <w:iCs/>
        </w:rPr>
        <w:t xml:space="preserve">Case Officer · Back office</w:t>
      </w:r>
    </w:p>
    <w:p>
      <w:pPr>
        <w:keepNext/>
      </w:pPr>
      <w:r>
        <w:t xml:space="preserve">The Case Officer works on "Schedule Examination" (review in the imported process), checks the application and its documents, and completes the step.</w:t>
      </w:r>
    </w:p>
    <w:p>
      <w:pPr>
        <w:keepNext/>
        <w:spacing w:after="0"/>
        <w:jc w:val="center"/>
      </w:pPr>
      <w:r>
        <w:drawing>
          <wp:inline distT="0" distB="0" distL="0" distR="0">
            <wp:extent cx="5940000" cy="3913616"/>
            <wp:effectExtent l="0" t="0" r="0" b="0"/>
            <wp:docPr id="1019" name="img019.png" descr="Schedule Examin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Schedule Examination"/>
                    <pic:cNvPicPr/>
                  </pic:nvPicPr>
                  <pic:blipFill>
                    <a:blip r:embed="rIdImg19"/>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12: Schedule Examination.</w:t>
      </w:r>
    </w:p>
    <w:p>
      <w:pPr>
        <w:pStyle w:val="Heading3"/>
        <w:keepNext/>
      </w:pPr>
      <w:r>
        <w:t xml:space="preserve">Step 13. Decide: Conduct Examination, Make decision, e-Sign, Complete</w:t>
      </w:r>
    </w:p>
    <w:p>
      <w:pPr>
        <w:keepNext/>
      </w:pPr>
      <w:r>
        <w:rPr>
          <w:i/>
          <w:iCs/>
        </w:rPr>
        <w:t xml:space="preserve">Case Officer · Back office</w:t>
      </w:r>
    </w:p>
    <w:p>
      <w:pPr>
        <w:keepNext/>
      </w:pPr>
      <w:r>
        <w:t xml:space="preserve">At "Conduct Examination, Make decision, e-Sign, Complete" the Case Officer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20" name="img020.png" descr="Decide: Conduct Examination, Make decision, e-Sign, Compl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Decide: Conduct Examination, Make decision, e-Sign, Complete"/>
                    <pic:cNvPicPr/>
                  </pic:nvPicPr>
                  <pic:blipFill>
                    <a:blip r:embed="rIdImg20"/>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13: Decide: Conduct Examination, Make decision, e-Sign, Complete.</w:t>
      </w:r>
    </w:p>
    <w:p>
      <w:pPr>
        <w:pStyle w:val="Heading3"/>
        <w:keepNext/>
      </w:pPr>
      <w:r>
        <w:t xml:space="preserve">Step 14. Issue the document</w:t>
      </w:r>
    </w:p>
    <w:p>
      <w:pPr>
        <w:keepNext/>
      </w:pPr>
      <w:r>
        <w:rPr>
          <w:i/>
          <w:iCs/>
        </w:rPr>
        <w:t xml:space="preserve">Case Officer · Back office</w:t>
      </w:r>
    </w:p>
    <w:p>
      <w:pPr>
        <w:keepNext/>
      </w:pPr>
      <w:r>
        <w:t xml:space="preserve">The service's validity ("not stated") is not a fixed period, so completing the case does not issue the document by itself: the officer issues it from the completed case ("Issue / check permit"). It is generated from the service's output configuration and sealed.</w:t>
      </w:r>
    </w:p>
    <w:p>
      <w:pPr>
        <w:keepNext/>
        <w:spacing w:after="0"/>
        <w:jc w:val="center"/>
      </w:pPr>
      <w:r>
        <w:drawing>
          <wp:inline distT="0" distB="0" distL="0" distR="0">
            <wp:extent cx="5940000" cy="3913616"/>
            <wp:effectExtent l="0" t="0" r="0" b="0"/>
            <wp:docPr id="1021" name="img021.png" descr="Issue the doc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Issue the document"/>
                    <pic:cNvPicPr/>
                  </pic:nvPicPr>
                  <pic:blipFill>
                    <a:blip r:embed="rIdImg21"/>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14: Issue the document.</w:t>
      </w:r>
    </w:p>
    <w:p>
      <w:pPr>
        <w:pStyle w:val="Heading3"/>
        <w:keepNext/>
      </w:pPr>
      <w:r>
        <w:t xml:space="preserve">Step 15. The document in My permits</w:t>
      </w:r>
    </w:p>
    <w:p>
      <w:pPr>
        <w:keepNext/>
      </w:pPr>
      <w:r>
        <w:rPr>
          <w:i/>
          <w:iCs/>
        </w:rPr>
        <w:t xml:space="preserve">Citizen · National e-Services portal</w:t>
      </w:r>
    </w:p>
    <w:p>
      <w:pPr>
        <w:keepNext/>
      </w:pPr>
      <w:r>
        <w:t xml:space="preserve">The issued document (MSMS-BL-2026-00001 in this run: "Blasting Licence")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2" name="img022.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The document in My permits - desktop"/>
                          <pic:cNvPicPr/>
                        </pic:nvPicPr>
                        <pic:blipFill>
                          <a:blip r:embed="rIdImg22"/>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3" name="img023.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The document in My permits - 375 px phone"/>
                          <pic:cNvPicPr/>
                        </pic:nvPicPr>
                        <pic:blipFill>
                          <a:blip r:embed="rIdImg23"/>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15: The document in My permits - desktop (left) and a 375 px phone (right).</w:t>
      </w:r>
    </w:p>
    <w:p>
      <w:pPr>
        <w:pStyle w:val="Heading3"/>
        <w:keepNext/>
      </w:pPr>
      <w:r>
        <w:t xml:space="preserve">Step 16.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4" name="img024.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Verify the document - desktop"/>
                          <pic:cNvPicPr/>
                        </pic:nvPicPr>
                        <pic:blipFill>
                          <a:blip r:embed="rIdImg24"/>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5" name="img025.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g025.png" descr="Verify the document - 375 px phone"/>
                          <pic:cNvPicPr/>
                        </pic:nvPicPr>
                        <pic:blipFill>
                          <a:blip r:embed="rIdImg25"/>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16: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none</w:t>
            </w:r>
          </w:p>
        </w:tc>
      </w:tr>
    </w:tbl>
    <w:p>
      <w:pPr>
        <w:pStyle w:val="Heading1"/>
        <w:keepNext/>
      </w:pPr>
      <w:r>
        <w:t xml:space="preserve">4. Output documents</w:t>
      </w:r>
    </w:p>
    <w:p>
      <w:pPr>
        <w:pStyle w:val="Heading2"/>
        <w:keepNext/>
      </w:pPr>
      <w:r>
        <w:t xml:space="preserve">Blasting Licence (sealed PDF)</w:t>
      </w:r>
    </w:p>
    <w:p>
      <w:r>
        <w:t xml:space="preserve">Issued when the case was approved, from the service's output configuration (service template GS3.Permit.docx),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6365163"/>
            <wp:effectExtent l="0" t="0" r="0" b="0"/>
            <wp:docPr id="1026" name="img026.png" descr="Blasting Licence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img026.png" descr="Blasting Licence (sealed PDF)"/>
                    <pic:cNvPicPr/>
                  </pic:nvPicPr>
                  <pic:blipFill>
                    <a:blip r:embed="rIdImg26"/>
                    <a:stretch>
                      <a:fillRect/>
                    </a:stretch>
                  </pic:blipFill>
                  <pic:spPr>
                    <a:xfrm>
                      <a:off x="0" y="0"/>
                      <a:ext cx="4500000" cy="6365163"/>
                    </a:xfrm>
                    <a:prstGeom prst="rect">
                      <a:avLst/>
                    </a:prstGeom>
                    <a:ln w="6350">
                      <a:solidFill>
                        <a:srgbClr val="BFBFBF"/>
                      </a:solidFill>
                    </a:ln>
                  </pic:spPr>
                </pic:pic>
              </a:graphicData>
            </a:graphic>
          </wp:inline>
        </w:drawing>
      </w:r>
    </w:p>
    <w:p>
      <w:pPr>
        <w:pStyle w:val="Caption"/>
      </w:pPr>
      <w:r>
        <w:t xml:space="preserve">Blasting Licence (sealed PDF) - first of 1 page,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Blasting Licence</w:t>
            </w:r>
          </w:p>
        </w:tc>
      </w:tr>
      <w:tr>
        <w:trPr>
          <w:cantSplit/>
        </w:trPr>
        <w:tc>
          <w:tcPr>
            <w:tcW w:w="2835" w:type="dxa"/>
          </w:tcPr>
          <w:p>
            <w:pPr>
              <w:pStyle w:val="TableText"/>
            </w:pPr>
            <w:r>
              <w:t xml:space="preserve">Permit / licence number</w:t>
            </w:r>
          </w:p>
        </w:tc>
        <w:tc>
          <w:tcPr>
            <w:tcW w:w="6804" w:type="dxa"/>
          </w:tcPr>
          <w:p>
            <w:pPr>
              <w:pStyle w:val="TableText"/>
            </w:pPr>
            <w:r>
              <w:t xml:space="preserve">MSMS-BL-2026-00001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2026-10-21</w:t>
            </w:r>
          </w:p>
        </w:tc>
      </w:tr>
      <w:tr>
        <w:trPr>
          <w:cantSplit/>
        </w:trPr>
        <w:tc>
          <w:tcPr>
            <w:tcW w:w="2835" w:type="dxa"/>
          </w:tcPr>
          <w:p>
            <w:pPr>
              <w:pStyle w:val="TableText"/>
            </w:pPr>
            <w:r>
              <w:t xml:space="preserve">Valid until</w:t>
            </w:r>
          </w:p>
        </w:tc>
        <w:tc>
          <w:tcPr>
            <w:tcW w:w="6804" w:type="dxa"/>
          </w:tcPr>
          <w:p>
            <w:pPr>
              <w:pStyle w:val="TableText"/>
            </w:pPr>
            <w:r>
              <w:t xml:space="preserve"/>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BBCV-2HHR-4U</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2026-10-21T08:31:22.363Z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2026-10-21T08:31:22.349Z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d2aeea60f3577f83...</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14 (Issue the document), step 15 (The document in My permits), step 16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MSMS-BL/00001/10-21-26 received - Your application MSMS-BL/00001/10-21-26 for Blasting Licence has been received by Minerals Regulation Commission.</w:t>
            </w:r>
          </w:p>
        </w:tc>
        <w:tc>
          <w:tcPr>
            <w:tcW w:w="1247" w:type="dxa"/>
          </w:tcPr>
          <w:p>
            <w:pPr>
              <w:pStyle w:val="TableText"/>
            </w:pPr>
            <w:r>
              <w:t xml:space="preserve">shown</w:t>
            </w:r>
          </w:p>
        </w:tc>
      </w:tr>
      <w:tr>
        <w:trPr>
          <w:cantSplit/>
        </w:trPr>
        <w:tc>
          <w:tcPr>
            <w:tcW w:w="1928" w:type="dxa"/>
          </w:tcPr>
          <w:p>
            <w:pPr>
              <w:pStyle w:val="TableText"/>
            </w:pPr>
            <w:r>
              <w:t xml:space="preserve">Status changed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Update on application MSMS-BL/00001/10-21-26 - MSMS-BL/00001/10-21-26 (Blasting Licence) is now: With the office - being reviewed.</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Blasting Licence? - How was Blasting Licence? Tell us in about a minute.</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MSMS-BL/00001/10-21-26 completed - MSMS-BL/00001/10-21-26 (Blasting Licence)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Blasting Licence document has been issued - MSMS-BL-2026-00001 has been issued for Blasting Licence.</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MSMS-BL/00001/10-21-26 received</w:t>
            </w:r>
          </w:p>
        </w:tc>
        <w:tc>
          <w:tcPr>
            <w:tcW w:w="1247" w:type="dxa"/>
          </w:tcPr>
          <w:p>
            <w:pPr>
              <w:pStyle w:val="TableText"/>
            </w:pPr>
            <w:r>
              <w:t xml:space="preserve">skipped</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MSMS-BL/00001/10-21-26 for Blasting Licence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Status changed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Blasting Licence?</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MSMS-BL/00001/10-21-26 completed</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Blasting Licence document has been issued</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Blasting Licence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491</w:t>
            </w:r>
          </w:p>
        </w:tc>
      </w:tr>
      <w:tr>
        <w:trPr>
          <w:cantSplit/>
        </w:trPr>
        <w:tc>
          <w:tcPr>
            <w:tcW w:w="2552" w:type="dxa"/>
          </w:tcPr>
          <w:p>
            <w:pPr>
              <w:pStyle w:val="TableText"/>
            </w:pPr>
            <w:r>
              <w:rPr>
                <w:b/>
                <w:bCs/>
              </w:rPr>
              <w:t xml:space="preserve">Legacy provider</w:t>
            </w:r>
          </w:p>
        </w:tc>
        <w:tc>
          <w:tcPr>
            <w:tcW w:w="7088" w:type="dxa"/>
          </w:tcPr>
          <w:p>
            <w:pPr>
              <w:pStyle w:val="TableText"/>
            </w:pPr>
            <w:r>
              <w:t xml:space="preserve">Minerals Regulation Commission (MSMS) under Ministry of Mines and Minerals Development</w:t>
            </w:r>
          </w:p>
        </w:tc>
      </w:tr>
      <w:tr>
        <w:trPr>
          <w:cantSplit/>
        </w:trPr>
        <w:tc>
          <w:tcPr>
            <w:tcW w:w="2552" w:type="dxa"/>
          </w:tcPr>
          <w:p>
            <w:pPr>
              <w:pStyle w:val="TableText"/>
            </w:pPr>
            <w:r>
              <w:rPr>
                <w:b/>
                <w:bCs/>
              </w:rPr>
              <w:t xml:space="preserve">Legacy process</w:t>
            </w:r>
          </w:p>
        </w:tc>
        <w:tc>
          <w:tcPr>
            <w:tcW w:w="7088" w:type="dxa"/>
          </w:tcPr>
          <w:p>
            <w:pPr>
              <w:pStyle w:val="TableText"/>
            </w:pPr>
            <w:r>
              <w:t xml:space="preserve">not recorded</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none</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not recorded</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Blasting Licence: ZIGS_Forms_MSMS / GS3.Permit</w:t>
            </w:r>
            <w:r>
              <w:br/>
              <w:t xml:space="preserve">Blasting Licence: ZIGS_Forms_MSMS / MSMS.BlastingLicenseRenewal.Certificate</w:t>
            </w:r>
            <w:r>
              <w:br/>
              <w:t xml:space="preserve">GS-1 Application for a Government Service: ZIGS_Forms_ZDA / GS1</w:t>
            </w:r>
            <w:r>
              <w:br/>
              <w:t xml:space="preserve">GS-2 Notice of Government Action: ZIGS_Forms_Notices / GS-2.NoticeOfAction</w:t>
            </w:r>
          </w:p>
        </w:tc>
      </w:tr>
      <w:tr>
        <w:trPr>
          <w:cantSplit/>
        </w:trPr>
        <w:tc>
          <w:tcPr>
            <w:tcW w:w="2552" w:type="dxa"/>
          </w:tcPr>
          <w:p>
            <w:pPr>
              <w:pStyle w:val="TableText"/>
            </w:pPr>
            <w:r>
              <w:rPr>
                <w:b/>
                <w:bCs/>
              </w:rPr>
              <w:t xml:space="preserve">Legacy address</w:t>
            </w:r>
          </w:p>
        </w:tc>
        <w:tc>
          <w:tcPr>
            <w:tcW w:w="7088" w:type="dxa"/>
          </w:tcPr>
          <w:p>
            <w:pPr>
              <w:pStyle w:val="TableText"/>
            </w:pPr>
            <w:r>
              <w:t xml:space="preserve">https://minessafety.gsb.gov.zm</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a0a302b8</w:t>
            </w:r>
          </w:p>
        </w:tc>
      </w:tr>
      <w:tr>
        <w:trPr>
          <w:cantSplit/>
        </w:trPr>
        <w:tc>
          <w:tcPr>
            <w:tcW w:w="2552" w:type="dxa"/>
          </w:tcPr>
          <w:p>
            <w:pPr>
              <w:pStyle w:val="TableText"/>
            </w:pPr>
            <w:r>
              <w:rPr>
                <w:b/>
                <w:bCs/>
              </w:rPr>
              <w:t xml:space="preserve">Generated</w:t>
            </w:r>
          </w:p>
        </w:tc>
        <w:tc>
          <w:tcPr>
            <w:tcW w:w="7088" w:type="dxa"/>
          </w:tcPr>
          <w:p>
            <w:pPr>
              <w:pStyle w:val="TableText"/>
            </w:pPr>
            <w:r>
              <w:t xml:space="preserve">2026-10-21T08:31:30Z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a0a302b8</w:t>
            </w:r>
            <w:r>
              <w:br/>
              <w:t xml:space="preserve">portal 72805f0</w:t>
            </w:r>
            <w:r>
              <w:br/>
              <w:t xml:space="preserve">back office 58e5946</w:t>
            </w:r>
          </w:p>
        </w:tc>
      </w:tr>
      <w:tr>
        <w:trPr>
          <w:cantSplit/>
        </w:trPr>
        <w:tc>
          <w:tcPr>
            <w:tcW w:w="2552" w:type="dxa"/>
          </w:tcPr>
          <w:p>
            <w:pPr>
              <w:pStyle w:val="TableText"/>
            </w:pPr>
            <w:r>
              <w:rPr>
                <w:b/>
                <w:bCs/>
              </w:rPr>
              <w:t xml:space="preserve">Test suite</w:t>
            </w:r>
          </w:p>
        </w:tc>
        <w:tc>
          <w:tcPr>
            <w:tcW w:w="7088" w:type="dxa"/>
          </w:tcPr>
          <w:p>
            <w:pPr>
              <w:pStyle w:val="TableText"/>
            </w:pPr>
            <w:r>
              <w:t xml:space="preserve">e2e 5999d9b;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Minerals Regulation Commission  ·  version service v1, platform a0a302b8  ·  2026-10-21</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Blasting Licence</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 Id="rIdImg25" Type="http://schemas.openxmlformats.org/officeDocument/2006/relationships/image" Target="media/img025.png"/><Relationship Id="rIdImg26" Type="http://schemas.openxmlformats.org/officeDocument/2006/relationships/image" Target="media/img026.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Blasting Licence - service documentation</dc:title>
  <dc:subject>Minerals Regulation Commission</dc:subject>
  <dc:creator>GSB e-Services end-to-end suite</dc:creator>
  <cp:keywords>MSMS/blasting-licence</cp:keywords>
  <cp:revision>1</cp:revision>
  <dcterms:created xsi:type="dcterms:W3CDTF">2026-10-21T08:31:30Z</dcterms:created>
  <dcterms:modified xsi:type="dcterms:W3CDTF">2026-10-21T08:31:30Z</dcterms:modified>
</cp:coreProperties>
</file>