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Authorisation of a Motor Vehicle for the Transportation of Explosives</w:t>
      </w:r>
    </w:p>
    <w:p>
      <w:pPr>
        <w:pStyle w:val="Subtitle"/>
      </w:pPr>
      <w:r>
        <w:t xml:space="preserve">Service documentation</w:t>
      </w:r>
    </w:p>
    <w:p>
      <w:pPr>
        <w:pStyle w:val="CoverMeta"/>
      </w:pPr>
      <w:r>
        <w:t xml:space="preserve">Owner: Minerals Regulation Commission</w:t>
      </w:r>
    </w:p>
    <w:p>
      <w:pPr>
        <w:pStyle w:val="CoverMeta"/>
      </w:pPr>
      <w:r>
        <w:t xml:space="preserve">Service key: MSMS/authorisation-of-a-motor-vehicle-for-the-transportation-of-explosives</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Authorisation of a Motor Vehicle for the Transportation of Explosives service of Minerals Regulation Commission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Authorisation of a Motor Vehicle for the Transportation of Explosives</w:t>
            </w:r>
          </w:p>
        </w:tc>
      </w:tr>
      <w:tr>
        <w:trPr>
          <w:cantSplit/>
        </w:trPr>
        <w:tc>
          <w:tcPr>
            <w:tcW w:w="2552" w:type="dxa"/>
          </w:tcPr>
          <w:p>
            <w:pPr>
              <w:pStyle w:val="TableText"/>
            </w:pPr>
            <w:r>
              <w:rPr>
                <w:b/>
                <w:bCs/>
              </w:rPr>
              <w:t xml:space="preserve">Owner (MDA)</w:t>
            </w:r>
          </w:p>
        </w:tc>
        <w:tc>
          <w:tcPr>
            <w:tcW w:w="7088" w:type="dxa"/>
          </w:tcPr>
          <w:p>
            <w:pPr>
              <w:pStyle w:val="TableText"/>
            </w:pPr>
            <w:r>
              <w:t xml:space="preserve">Minerals Regulation Commission (MSMS)</w:t>
            </w:r>
          </w:p>
        </w:tc>
      </w:tr>
      <w:tr>
        <w:trPr>
          <w:cantSplit/>
        </w:trPr>
        <w:tc>
          <w:tcPr>
            <w:tcW w:w="2552" w:type="dxa"/>
          </w:tcPr>
          <w:p>
            <w:pPr>
              <w:pStyle w:val="TableText"/>
            </w:pPr>
            <w:r>
              <w:rPr>
                <w:b/>
                <w:bCs/>
              </w:rPr>
              <w:t xml:space="preserve">Purpose</w:t>
            </w:r>
          </w:p>
        </w:tc>
        <w:tc>
          <w:tcPr>
            <w:tcW w:w="7088" w:type="dxa"/>
          </w:tcPr>
          <w:p>
            <w:pPr>
              <w:pStyle w:val="TableText"/>
            </w:pPr>
            <w:r>
              <w:t xml:space="preserve">This is an authorization, given to any road-worthy motor vehicle (further called authorized vehicle), that allows for the transportation of more than 5 cases of 25 kg of nitro-compounds blasting agents or more than 15,000 detonators.</w:t>
            </w:r>
          </w:p>
        </w:tc>
      </w:tr>
      <w:tr>
        <w:trPr>
          <w:cantSplit/>
        </w:trPr>
        <w:tc>
          <w:tcPr>
            <w:tcW w:w="2552" w:type="dxa"/>
          </w:tcPr>
          <w:p>
            <w:pPr>
              <w:pStyle w:val="TableText"/>
            </w:pPr>
            <w:r>
              <w:rPr>
                <w:b/>
                <w:bCs/>
              </w:rPr>
              <w:t xml:space="preserve">Who can apply</w:t>
            </w:r>
          </w:p>
        </w:tc>
        <w:tc>
          <w:tcPr>
            <w:tcW w:w="7088" w:type="dxa"/>
          </w:tcPr>
          <w:p>
            <w:pPr>
              <w:pStyle w:val="TableText"/>
            </w:pPr>
            <w:r>
              <w:t xml:space="preserve">Not set in the service configuration.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Service fee: ZMW 120.00</w:t>
            </w:r>
          </w:p>
        </w:tc>
      </w:tr>
      <w:tr>
        <w:trPr>
          <w:cantSplit/>
        </w:trPr>
        <w:tc>
          <w:tcPr>
            <w:tcW w:w="2552" w:type="dxa"/>
          </w:tcPr>
          <w:p>
            <w:pPr>
              <w:pStyle w:val="TableText"/>
            </w:pPr>
            <w:r>
              <w:rPr>
                <w:b/>
                <w:bCs/>
              </w:rPr>
              <w:t xml:space="preserve">Turnaround</w:t>
            </w:r>
          </w:p>
        </w:tc>
        <w:tc>
          <w:tcPr>
            <w:tcW w:w="7088" w:type="dxa"/>
          </w:tcPr>
          <w:p>
            <w:pPr>
              <w:pStyle w:val="TableText"/>
            </w:pPr>
            <w:r>
              <w:t xml:space="preserve">Five (5) days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One (1) Year</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None</w:t>
            </w:r>
          </w:p>
        </w:tc>
      </w:tr>
      <w:tr>
        <w:trPr>
          <w:cantSplit/>
        </w:trPr>
        <w:tc>
          <w:tcPr>
            <w:tcW w:w="2552" w:type="dxa"/>
          </w:tcPr>
          <w:p>
            <w:pPr>
              <w:pStyle w:val="TableText"/>
            </w:pPr>
            <w:r>
              <w:rPr>
                <w:b/>
                <w:bCs/>
              </w:rPr>
              <w:t xml:space="preserve">Output documents</w:t>
            </w:r>
          </w:p>
        </w:tc>
        <w:tc>
          <w:tcPr>
            <w:tcW w:w="7088" w:type="dxa"/>
          </w:tcPr>
          <w:p>
            <w:pPr>
              <w:pStyle w:val="TableText"/>
            </w:pPr>
            <w:r>
              <w:t xml:space="preserve">Authorisation of a Motor Vehicle for the Transportation of Explosives</w:t>
            </w:r>
            <w:r>
              <w:br/>
              <w:t xml:space="preserve">GS-1 Application for a Government Service</w:t>
            </w:r>
            <w:r>
              <w:br/>
              <w:t xml:space="preserve">GS-2 Notice of Government Action</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3</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5</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Executive</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7</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8</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9</w:t>
            </w:r>
          </w:p>
        </w:tc>
        <w:tc>
          <w:tcPr>
            <w:tcW w:w="2268" w:type="dxa"/>
          </w:tcPr>
          <w:p>
            <w:pPr>
              <w:pStyle w:val="TableText"/>
            </w:pPr>
            <w:r>
              <w:t xml:space="preserve">Case Officer</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10</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11</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("Authorisation of a Motor Vehicle for").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(7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5478325"/>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5478325"/>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The service asks for no supporting documents, so the citizen continues straight to the check of the answers.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6808164"/>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6808164"/>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(MSMS-AMVTE/00001/10-21-26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(Minerals Regulation Commission);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Fill in the certificate particulars</w:t>
      </w:r>
    </w:p>
    <w:p>
      <w:pPr>
        <w:keepNext/>
      </w:pPr>
      <w:r>
        <w:rPr>
          <w:i/>
          <w:iCs/>
        </w:rPr>
        <w:t xml:space="preserve">Case Officer · Back office</w:t>
      </w:r>
    </w:p>
    <w:p>
      <w:pPr>
        <w:keepNext/>
      </w:pPr>
      <w:r>
        <w:t xml:space="preserve">The issued document prints 10 fields that come from the office rather than from the application (Net weight, Category, Gross weight, Vehicle make, Vehicle description, Quantity of detonators, Authorization conditions, Blasting agents packaging, Quantity of nitro compund, Quantityof blasting agents).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16" name="img016.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Fill in the certificate particulars"/>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Fill in the certificate particulars.</w:t>
      </w:r>
    </w:p>
    <w:p>
      <w:pPr>
        <w:pStyle w:val="Heading3"/>
        <w:keepNext/>
      </w:pPr>
      <w:r>
        <w:t xml:space="preserve">Step 10. Review, Inspect, Assign to Case Officer</w:t>
      </w:r>
    </w:p>
    <w:p>
      <w:pPr>
        <w:keepNext/>
      </w:pPr>
      <w:r>
        <w:rPr>
          <w:i/>
          <w:iCs/>
        </w:rPr>
        <w:t xml:space="preserve">Supervisor · Back office</w:t>
      </w:r>
    </w:p>
    <w:p>
      <w:pPr>
        <w:keepNext/>
      </w:pPr>
      <w:r>
        <w:t xml:space="preserve">The Supervisor works on "Review, Inspect, Assign to Case Officer" (review in the imported process), checks the application and its documents, and completes the step.</w:t>
      </w:r>
    </w:p>
    <w:p>
      <w:pPr>
        <w:keepNext/>
        <w:spacing w:after="0"/>
        <w:jc w:val="center"/>
      </w:pPr>
      <w:r>
        <w:drawing>
          <wp:inline distT="0" distB="0" distL="0" distR="0">
            <wp:extent cx="5940000" cy="3913616"/>
            <wp:effectExtent l="0" t="0" r="0" b="0"/>
            <wp:docPr id="1017" name="img017.png" descr="Review, Inspect, Assign to Case Offic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Review, Inspect, Assign to Case Officer"/>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Review, Inspect, Assign to Case Officer.</w:t>
      </w:r>
    </w:p>
    <w:p>
      <w:pPr>
        <w:pStyle w:val="Heading3"/>
        <w:keepNext/>
      </w:pPr>
      <w:r>
        <w:t xml:space="preserve">Step 11. Receive, Inspect, Report Findings</w:t>
      </w:r>
    </w:p>
    <w:p>
      <w:pPr>
        <w:keepNext/>
      </w:pPr>
      <w:r>
        <w:rPr>
          <w:i/>
          <w:iCs/>
        </w:rPr>
        <w:t xml:space="preserve">Case Officer · Back office</w:t>
      </w:r>
    </w:p>
    <w:p>
      <w:pPr>
        <w:keepNext/>
      </w:pPr>
      <w:r>
        <w:t xml:space="preserve">The Case Officer works on "Receive, Inspect, Report Findings" (review in the imported process), checks the application and its documents, and completes the step.</w:t>
      </w:r>
    </w:p>
    <w:p>
      <w:pPr>
        <w:keepNext/>
        <w:spacing w:after="0"/>
        <w:jc w:val="center"/>
      </w:pPr>
      <w:r>
        <w:drawing>
          <wp:inline distT="0" distB="0" distL="0" distR="0">
            <wp:extent cx="5940000" cy="3913616"/>
            <wp:effectExtent l="0" t="0" r="0" b="0"/>
            <wp:docPr id="1018" name="img018.png" descr="Receive, Inspect, Report Fin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Receive, Inspect, Report Findings"/>
                    <pic:cNvPicPr/>
                  </pic:nvPicPr>
                  <pic:blipFill>
                    <a:blip r:embed="rIdImg18"/>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Receive, Inspect, Report Findings.</w:t>
      </w:r>
    </w:p>
    <w:p>
      <w:pPr>
        <w:pStyle w:val="Heading3"/>
        <w:keepNext/>
      </w:pPr>
      <w:r>
        <w:t xml:space="preserve">Step 12. Request Director's Authority to Inspect</w:t>
      </w:r>
    </w:p>
    <w:p>
      <w:pPr>
        <w:keepNext/>
      </w:pPr>
      <w:r>
        <w:rPr>
          <w:i/>
          <w:iCs/>
        </w:rPr>
        <w:t xml:space="preserve">Case Officer · Back office</w:t>
      </w:r>
    </w:p>
    <w:p>
      <w:pPr>
        <w:keepNext/>
      </w:pPr>
      <w:r>
        <w:t xml:space="preserve">The Case Officer works on "Request Director's Authority to Inspect" (review in the imported process), checks the application and its documents, and completes the step.</w:t>
      </w:r>
    </w:p>
    <w:p>
      <w:pPr>
        <w:keepNext/>
        <w:spacing w:after="0"/>
        <w:jc w:val="center"/>
      </w:pPr>
      <w:r>
        <w:drawing>
          <wp:inline distT="0" distB="0" distL="0" distR="0">
            <wp:extent cx="5940000" cy="3913616"/>
            <wp:effectExtent l="0" t="0" r="0" b="0"/>
            <wp:docPr id="1019" name="img019.png" descr="Request Director's Authority to Insp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Request Director's Authority to Inspect"/>
                    <pic:cNvPicPr/>
                  </pic:nvPicPr>
                  <pic:blipFill>
                    <a:blip r:embed="rIdImg19"/>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Request Director's Authority to Inspect.</w:t>
      </w:r>
    </w:p>
    <w:p>
      <w:pPr>
        <w:pStyle w:val="Heading3"/>
        <w:keepNext/>
      </w:pPr>
      <w:r>
        <w:t xml:space="preserve">Step 13. Decide: Review the request, Approve</w:t>
      </w:r>
    </w:p>
    <w:p>
      <w:pPr>
        <w:keepNext/>
      </w:pPr>
      <w:r>
        <w:rPr>
          <w:i/>
          <w:iCs/>
        </w:rPr>
        <w:t xml:space="preserve">Executive · Back office</w:t>
      </w:r>
    </w:p>
    <w:p>
      <w:pPr>
        <w:keepNext/>
      </w:pPr>
      <w:r>
        <w:t xml:space="preserve">At "Review the request, Approve"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0" name="img020.png" descr="Decide: Review the request, Appro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Decide: Review the request, Approve"/>
                    <pic:cNvPicPr/>
                  </pic:nvPicPr>
                  <pic:blipFill>
                    <a:blip r:embed="rIdImg20"/>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Decide: Review the request, Approve.</w:t>
      </w:r>
    </w:p>
    <w:p>
      <w:pPr>
        <w:pStyle w:val="Heading3"/>
        <w:keepNext/>
      </w:pPr>
      <w:r>
        <w:t xml:space="preserve">Step 14. Inspect, Draft Certificate and Conditions, Send for Signature</w:t>
      </w:r>
    </w:p>
    <w:p>
      <w:pPr>
        <w:keepNext/>
      </w:pPr>
      <w:r>
        <w:rPr>
          <w:i/>
          <w:iCs/>
        </w:rPr>
        <w:t xml:space="preserve">Case Officer · Back office</w:t>
      </w:r>
    </w:p>
    <w:p>
      <w:pPr>
        <w:keepNext/>
      </w:pPr>
      <w:r>
        <w:t xml:space="preserve">The Case Officer works on "Inspect, Draft Certificate and Conditions, Send for Signature" (review in the imported process), checks the application and its documents, and completes the step.</w:t>
      </w:r>
    </w:p>
    <w:p>
      <w:pPr>
        <w:keepNext/>
        <w:spacing w:after="0"/>
        <w:jc w:val="center"/>
      </w:pPr>
      <w:r>
        <w:drawing>
          <wp:inline distT="0" distB="0" distL="0" distR="0">
            <wp:extent cx="5940000" cy="3913616"/>
            <wp:effectExtent l="0" t="0" r="0" b="0"/>
            <wp:docPr id="1021" name="img021.png" descr="Inspect, Draft Certificate and Conditions, Send fo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Inspect, Draft Certificate and Conditions, Send for Signature"/>
                    <pic:cNvPicPr/>
                  </pic:nvPicPr>
                  <pic:blipFill>
                    <a:blip r:embed="rIdImg21"/>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Inspect, Draft Certificate and Conditions, Send for Signature.</w:t>
      </w:r>
    </w:p>
    <w:p>
      <w:pPr>
        <w:pStyle w:val="Heading3"/>
        <w:keepNext/>
      </w:pPr>
      <w:r>
        <w:t xml:space="preserve">Step 15. Draft Payment</w:t>
      </w:r>
    </w:p>
    <w:p>
      <w:pPr>
        <w:keepNext/>
      </w:pPr>
      <w:r>
        <w:rPr>
          <w:i/>
          <w:iCs/>
        </w:rPr>
        <w:t xml:space="preserve">Case Officer · Back office</w:t>
      </w:r>
    </w:p>
    <w:p>
      <w:pPr>
        <w:keepNext/>
      </w:pPr>
      <w:r>
        <w:t xml:space="preserve">The Case Officer works on "Draft Payment" (review in the imported process), checks the application and its documents, and completes the step.</w:t>
      </w:r>
    </w:p>
    <w:p>
      <w:pPr>
        <w:keepNext/>
        <w:spacing w:after="0"/>
        <w:jc w:val="center"/>
      </w:pPr>
      <w:r>
        <w:drawing>
          <wp:inline distT="0" distB="0" distL="0" distR="0">
            <wp:extent cx="5940000" cy="3913616"/>
            <wp:effectExtent l="0" t="0" r="0" b="0"/>
            <wp:docPr id="1022" name="img022.png" descr="Draft Pay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Draft Payment"/>
                    <pic:cNvPicPr/>
                  </pic:nvPicPr>
                  <pic:blipFill>
                    <a:blip r:embed="rIdImg22"/>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Draft Payment.</w:t>
      </w:r>
    </w:p>
    <w:p>
      <w:pPr>
        <w:pStyle w:val="Heading3"/>
        <w:keepNext/>
      </w:pPr>
      <w:r>
        <w:t xml:space="preserve">Step 16. Decide: Review, e-Sign and Complete</w:t>
      </w:r>
    </w:p>
    <w:p>
      <w:pPr>
        <w:keepNext/>
      </w:pPr>
      <w:r>
        <w:rPr>
          <w:i/>
          <w:iCs/>
        </w:rPr>
        <w:t xml:space="preserve">Case Officer · Back office</w:t>
      </w:r>
    </w:p>
    <w:p>
      <w:pPr>
        <w:keepNext/>
      </w:pPr>
      <w:r>
        <w:t xml:space="preserve">At "Review, e-Sign and Complete" the Case Officer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3" name="img023.png" descr="Decide: Review, e-Sign and Compl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Decide: Review, e-Sign and Complete"/>
                    <pic:cNvPicPr/>
                  </pic:nvPicPr>
                  <pic:blipFill>
                    <a:blip r:embed="rIdImg23"/>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16: Decide: Review, e-Sign and Complete.</w:t>
      </w:r>
    </w:p>
    <w:p>
      <w:pPr>
        <w:pStyle w:val="Heading3"/>
        <w:keepNext/>
      </w:pPr>
      <w:r>
        <w:t xml:space="preserve">Step 17. The document in My permits</w:t>
      </w:r>
    </w:p>
    <w:p>
      <w:pPr>
        <w:keepNext/>
      </w:pPr>
      <w:r>
        <w:rPr>
          <w:i/>
          <w:iCs/>
        </w:rPr>
        <w:t xml:space="preserve">Citizen · National e-Services portal</w:t>
      </w:r>
    </w:p>
    <w:p>
      <w:pPr>
        <w:keepNext/>
      </w:pPr>
      <w:r>
        <w:t xml:space="preserve">The issued document (MSMS-AMVTE-2026-00001 in this run: "Authorisation of a Motor Vehicle for the Transportation of Explosives")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4" name="img024.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The document in My permits - desktop"/>
                          <pic:cNvPicPr/>
                        </pic:nvPicPr>
                        <pic:blipFill>
                          <a:blip r:embed="rIdImg24"/>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5" name="img025.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The document in My permits - 375 px phone"/>
                          <pic:cNvPicPr/>
                        </pic:nvPicPr>
                        <pic:blipFill>
                          <a:blip r:embed="rIdImg25"/>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17: The document in My permits - desktop (left) and a 375 px phone (right).</w:t>
      </w:r>
    </w:p>
    <w:p>
      <w:pPr>
        <w:pStyle w:val="Heading3"/>
        <w:keepNext/>
      </w:pPr>
      <w:r>
        <w:t xml:space="preserve">Step 18.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6" name="img026.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Verify the document - desktop"/>
                          <pic:cNvPicPr/>
                        </pic:nvPicPr>
                        <pic:blipFill>
                          <a:blip r:embed="rIdImg26"/>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7" name="img027.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Verify the document - 375 px phone"/>
                          <pic:cNvPicPr/>
                        </pic:nvPicPr>
                        <pic:blipFill>
                          <a:blip r:embed="rIdImg27"/>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18: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ZMW 120.00</w:t>
            </w:r>
          </w:p>
        </w:tc>
      </w:tr>
    </w:tbl>
    <w:p>
      <w:pPr>
        <w:pStyle w:val="Heading1"/>
        <w:keepNext/>
      </w:pPr>
      <w:r>
        <w:t xml:space="preserve">4. Output documents</w:t>
      </w:r>
    </w:p>
    <w:p>
      <w:pPr>
        <w:pStyle w:val="Heading2"/>
        <w:keepNext/>
      </w:pPr>
      <w:r>
        <w:t xml:space="preserve">Authorisation of a Motor Vehicle for the Transportation of Explosives (sealed PDF)</w:t>
      </w:r>
    </w:p>
    <w:p>
      <w:r>
        <w:t xml:space="preserve">Issued when the case was approved, from the service's output configuration (service template MSMS.AuthMVTransportExplosives.Certificate.),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28" name="img028.png" descr="Authorisation of a Motor Vehicle for the Transportation of Explosives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Authorisation of a Motor Vehicle for the Transportation of Explosives (sealed PDF)"/>
                    <pic:cNvPicPr/>
                  </pic:nvPicPr>
                  <pic:blipFill>
                    <a:blip r:embed="rIdImg28"/>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Authorisation of a Motor Vehicle for the Transportation of Explosives (sealed PDF) - first of 3 pages,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Authorisation of a Motor Vehicle for the Transportation of Explosives</w:t>
            </w:r>
          </w:p>
        </w:tc>
      </w:tr>
      <w:tr>
        <w:trPr>
          <w:cantSplit/>
        </w:trPr>
        <w:tc>
          <w:tcPr>
            <w:tcW w:w="2835" w:type="dxa"/>
          </w:tcPr>
          <w:p>
            <w:pPr>
              <w:pStyle w:val="TableText"/>
            </w:pPr>
            <w:r>
              <w:t xml:space="preserve">Permit / licence number</w:t>
            </w:r>
          </w:p>
        </w:tc>
        <w:tc>
          <w:tcPr>
            <w:tcW w:w="6804" w:type="dxa"/>
          </w:tcPr>
          <w:p>
            <w:pPr>
              <w:pStyle w:val="TableText"/>
            </w:pPr>
            <w:r>
              <w:t xml:space="preserve">MSMS-AMVTE-2026-00001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2027-10-21</w:t>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U64B-DKDV-TV</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2026-10-21T08:27:34.546Z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2026-10-21T08:27:34.533Z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334b63adc0901edc...</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17 (The document in My permits), step 18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MSMS-AMVTE/00001/10-21-26 received - Your application MSMS-AMVTE/00001/10-21-26 for Authorisation of a Motor Vehicle for the Transportation of Explosives has been received by Minerals Regulation Commission.</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MSMS-AMVTE/00001/10-21-26 - MSMS-AMVTE/00001/10-21-26 (Authorisation of a Motor Vehicle for the Transportation of Explosives) is now: With the office - being reviewed.</w:t>
            </w:r>
          </w:p>
        </w:tc>
        <w:tc>
          <w:tcPr>
            <w:tcW w:w="1247" w:type="dxa"/>
          </w:tcPr>
          <w:p>
            <w:pPr>
              <w:pStyle w:val="TableText"/>
            </w:pPr>
            <w:r>
              <w:t xml:space="preserve">shown</w:t>
            </w:r>
          </w:p>
        </w:tc>
      </w:tr>
      <w:tr>
        <w:trPr>
          <w:cantSplit/>
        </w:trPr>
        <w:tc>
          <w:tcPr>
            <w:tcW w:w="1928" w:type="dxa"/>
          </w:tcPr>
          <w:p>
            <w:pPr>
              <w:pStyle w:val="TableText"/>
            </w:pPr>
            <w:r>
              <w:t xml:space="preserve">case.approved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MSMS-AMVTE/00001/10-21-26 approved - MSMS-AMVTE/00001/10-21-26 (Authorisation of a Motor Vehicle for the Transportation of Explosives) has been approved.</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Authorisation of a Motor Vehicle for the Transportation of Explosives document has been issued - MSMS-AMVTE-2026-00001 has been issued for Authorisation of a Motor Vehicle for the Transportation of Explosives and is valid until 21/10/2027.</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Authorisation of a Motor Vehicle for the Transportation of Explosives? - How was Authorisation of a Motor Vehicle for the Transportation of Explosives?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MSMS-AMVTE/00001/10-21-26 completed - MSMS-AMVTE/00001/10-21-26 (Authorisation of a Motor Vehicle for the Transportation of Explosives)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MSMS-AMVTE/00001/10-21-26 for Authorisation of a Motor Vehicle for the Transportation of Explosives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MSMS-AMVTE/00001/10-21-26 received</w:t>
            </w:r>
          </w:p>
        </w:tc>
        <w:tc>
          <w:tcPr>
            <w:tcW w:w="1247" w:type="dxa"/>
          </w:tcPr>
          <w:p>
            <w:pPr>
              <w:pStyle w:val="TableText"/>
            </w:pPr>
            <w:r>
              <w:t xml:space="preserve">skipped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case.approved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case.approved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MSMS-AMVTE/00001/10-21-26 approved</w:t>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Authorisation of a Motor Vehicle for the Transportation of Explosives?</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MSMS-AMVTE/00001/10-21-26 completed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Authorisation of a Motor Vehicle for the Transportation of Explosives document has been issued</w:t>
            </w:r>
          </w:p>
        </w:tc>
        <w:tc>
          <w:tcPr>
            <w:tcW w:w="1247" w:type="dxa"/>
          </w:tcPr>
          <w:p>
            <w:pPr>
              <w:pStyle w:val="TableText"/>
            </w:pPr>
            <w:r>
              <w:t xml:space="preserve">skipped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Authorisation of a Motor Vehicle for the Transportation of Explosives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461</w:t>
            </w:r>
          </w:p>
        </w:tc>
      </w:tr>
      <w:tr>
        <w:trPr>
          <w:cantSplit/>
        </w:trPr>
        <w:tc>
          <w:tcPr>
            <w:tcW w:w="2552" w:type="dxa"/>
          </w:tcPr>
          <w:p>
            <w:pPr>
              <w:pStyle w:val="TableText"/>
            </w:pPr>
            <w:r>
              <w:rPr>
                <w:b/>
                <w:bCs/>
              </w:rPr>
              <w:t xml:space="preserve">Legacy provider</w:t>
            </w:r>
          </w:p>
        </w:tc>
        <w:tc>
          <w:tcPr>
            <w:tcW w:w="7088" w:type="dxa"/>
          </w:tcPr>
          <w:p>
            <w:pPr>
              <w:pStyle w:val="TableText"/>
            </w:pPr>
            <w:r>
              <w:t xml:space="preserve">Minerals Regulation Commission (MSMS) under Ministry of Mines and Minerals Development</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Authorisation of a Motor Vehicle for the Transportation of Explosives: ZIGS_Forms_MSMS / MSMS.AuthMVTransportExplosives.Certificate</w:t>
            </w:r>
            <w:r>
              <w:br/>
              <w:t xml:space="preserve">GS-1 Application for a Government Service: ZIGS_Forms_ZDA / GS1</w:t>
            </w:r>
            <w:r>
              <w:br/>
              <w:t xml:space="preserve">GS-2 Notice of Government Action: ZIGS_Forms_Notices / GS-2.NoticeOfAction</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https://minessafety.gsb.gov.zm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2026-10-21T08:27:42Z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Minerals Regulation Commission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Authorisation of a Motor Vehicle for the Transportation of Explosives</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Authorisation of a Motor Vehicle for the Transportation of Explosives - service documentation</dc:title>
  <dc:subject>Minerals Regulation Commission</dc:subject>
  <dc:creator>GSB e-Services end-to-end suite</dc:creator>
  <cp:keywords>MSMS/authorisation-of-a-motor-vehicle-for-the-transportation-of-explosives</cp:keywords>
  <cp:revision>1</cp:revision>
  <dcterms:created xsi:type="dcterms:W3CDTF">2026-10-21T08:27:42Z</dcterms:created>
  <dcterms:modified xsi:type="dcterms:W3CDTF">2026-10-21T08:27:42Z</dcterms:modified>
</cp:coreProperties>
</file>