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Kicker"/>
        <w:spacing w:before="1800"/>
      </w:pPr>
      <w:r>
        <w:t xml:space="preserve">Republic of Zambia</w:t>
      </w:r>
    </w:p>
    <w:p>
      <w:pPr>
        <w:pStyle w:val="CoverKicker"/>
        <w:pBdr>
          <w:bottom w:val="single" w:sz="18" w:space="4" w:color="EF7D00"/>
        </w:pBdr>
        <w:spacing w:after="600"/>
      </w:pPr>
      <w:r>
        <w:t xml:space="preserve">GSB e-Services</w:t>
      </w:r>
    </w:p>
    <w:p>
      <w:pPr>
        <w:pStyle w:val="Title"/>
      </w:pPr>
      <w:r>
        <w:t xml:space="preserve">Application for Resettlements</w:t>
      </w:r>
    </w:p>
    <w:p>
      <w:pPr>
        <w:pStyle w:val="Subtitle"/>
      </w:pPr>
      <w:r>
        <w:t xml:space="preserve">Service documentation</w:t>
      </w:r>
    </w:p>
    <w:p>
      <w:pPr>
        <w:pStyle w:val="CoverMeta"/>
      </w:pPr>
      <w:r>
        <w:t xml:space="preserve">Owner: Lands Department</w:t>
      </w:r>
    </w:p>
    <w:p>
      <w:pPr>
        <w:pStyle w:val="CoverMeta"/>
      </w:pPr>
      <w:r>
        <w:t xml:space="preserve">Service key: MLNR/application-for-resettlements</w:t>
      </w:r>
    </w:p>
    <w:p>
      <w:pPr>
        <w:pStyle w:val="CoverMeta"/>
      </w:pPr>
      <w:r>
        <w:t xml:space="preserve">Version: service v1, platform a0a302b8</w:t>
      </w:r>
    </w:p>
    <w:p>
      <w:pPr>
        <w:pStyle w:val="CoverMeta"/>
      </w:pPr>
      <w:r>
        <w:t xml:space="preserve">Date: 2026-10-21</w:t>
      </w:r>
    </w:p>
    <w:p>
      <w:pPr>
        <w:pStyle w:val="Note"/>
        <w:spacing w:before="1200"/>
      </w:pPr>
      <w:r>
        <w:t xml:space="preserve">Generated automatically by the service's end-to-end test run. Every screenshot shows synthetic test data on a local test installation, never real personal data.</w:t>
      </w:r>
    </w:p>
    <w:p>
      <w:pPr>
        <w:pStyle w:val="Heading2"/>
        <w:pageBreakBefore/>
      </w:pPr>
      <w:r>
        <w:t xml:space="preserve">Contents</w:t>
      </w:r>
    </w:p>
    <w:p>
      <w:pPr>
        <w:pStyle w:val="ListBullet"/>
      </w:pPr>
      <w:r>
        <w:t xml:space="preserve">1. Service summary</w:t>
      </w:r>
    </w:p>
    <w:p>
      <w:pPr>
        <w:pStyle w:val="ListBullet"/>
      </w:pPr>
      <w:r>
        <w:t xml:space="preserve">2. Application process, step by step</w:t>
      </w:r>
    </w:p>
    <w:p>
      <w:pPr>
        <w:pStyle w:val="ListBullet"/>
      </w:pPr>
      <w:r>
        <w:t xml:space="preserve">3. Payment</w:t>
      </w:r>
    </w:p>
    <w:p>
      <w:pPr>
        <w:pStyle w:val="ListBullet"/>
      </w:pPr>
      <w:r>
        <w:t xml:space="preserve">4. Output documents</w:t>
      </w:r>
    </w:p>
    <w:p>
      <w:pPr>
        <w:pStyle w:val="ListBullet"/>
      </w:pPr>
      <w:r>
        <w:t xml:space="preserve">5. Notifications</w:t>
      </w:r>
    </w:p>
    <w:p>
      <w:pPr>
        <w:pStyle w:val="ListBullet"/>
      </w:pPr>
      <w:r>
        <w:t xml:space="preserve">6. Legacy mapping</w:t>
      </w:r>
    </w:p>
    <w:p>
      <w:pPr>
        <w:pStyle w:val="ListBullet"/>
      </w:pPr>
      <w:r>
        <w:t xml:space="preserve">7. Version and date</w:t>
      </w:r>
    </w:p>
    <w:p>
      <w:pPr>
        <w:pStyle w:val="Note"/>
      </w:pPr>
      <w:r>
        <w:t xml:space="preserve">This document describes the Application for Resettlements service of Lands Department as the platform runs it today. It is generated by the service's end-to-end test: every step was performed by the test and every screenshot was taken during that run, with synthetic data. Regenerate it with "npm run docs:services" in the e2e suite; do not edit it by hand.</w:t>
      </w:r>
    </w:p>
    <w:p>
      <w:pPr>
        <w:pStyle w:val="Heading1"/>
        <w:keepNext/>
      </w:pPr>
      <w:r>
        <w:t xml:space="preserve">1. Service summary</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Service</w:t>
            </w:r>
          </w:p>
        </w:tc>
        <w:tc>
          <w:tcPr>
            <w:tcW w:w="7088" w:type="dxa"/>
          </w:tcPr>
          <w:p>
            <w:pPr>
              <w:pStyle w:val="TableText"/>
            </w:pPr>
            <w:r>
              <w:t xml:space="preserve">Application for Resettlements</w:t>
            </w:r>
          </w:p>
        </w:tc>
      </w:tr>
      <w:tr>
        <w:trPr>
          <w:cantSplit/>
        </w:trPr>
        <w:tc>
          <w:tcPr>
            <w:tcW w:w="2552" w:type="dxa"/>
          </w:tcPr>
          <w:p>
            <w:pPr>
              <w:pStyle w:val="TableText"/>
            </w:pPr>
            <w:r>
              <w:rPr>
                <w:b/>
                <w:bCs/>
              </w:rPr>
              <w:t xml:space="preserve">Owner (MDA)</w:t>
            </w:r>
          </w:p>
        </w:tc>
        <w:tc>
          <w:tcPr>
            <w:tcW w:w="7088" w:type="dxa"/>
          </w:tcPr>
          <w:p>
            <w:pPr>
              <w:pStyle w:val="TableText"/>
            </w:pPr>
            <w:r>
              <w:t xml:space="preserve">Lands Department (MLNR)</w:t>
            </w:r>
          </w:p>
        </w:tc>
      </w:tr>
      <w:tr>
        <w:trPr>
          <w:cantSplit/>
        </w:trPr>
        <w:tc>
          <w:tcPr>
            <w:tcW w:w="2552" w:type="dxa"/>
          </w:tcPr>
          <w:p>
            <w:pPr>
              <w:pStyle w:val="TableText"/>
            </w:pPr>
            <w:r>
              <w:rPr>
                <w:b/>
                <w:bCs/>
              </w:rPr>
              <w:t xml:space="preserve">Purpose</w:t>
            </w:r>
          </w:p>
        </w:tc>
        <w:tc>
          <w:tcPr>
            <w:tcW w:w="7088" w:type="dxa"/>
          </w:tcPr>
          <w:p>
            <w:pPr>
              <w:pStyle w:val="TableText"/>
            </w:pPr>
            <w:r>
              <w:t xml:space="preserve">Land in Resettlement Schemes is allocated strictly for the intended purposes as per the scheme’s regulations. Note that the resettlement scheme is specifically designed for targeted citizens as provided for in the Resettlement Policy. Before applying for current service at MLNR, the applicant has to apply first at the Office of the Vice President, Department of Resettlement and obtain the Letter of recommendation, available online at the following address https://www.ovp.gov.zm/?page_id=7682</w:t>
            </w:r>
          </w:p>
        </w:tc>
      </w:tr>
      <w:tr>
        <w:trPr>
          <w:cantSplit/>
        </w:trPr>
        <w:tc>
          <w:tcPr>
            <w:tcW w:w="2552" w:type="dxa"/>
          </w:tcPr>
          <w:p>
            <w:pPr>
              <w:pStyle w:val="TableText"/>
            </w:pPr>
            <w:r>
              <w:rPr>
                <w:b/>
                <w:bCs/>
              </w:rPr>
              <w:t xml:space="preserve">Who can apply</w:t>
            </w:r>
          </w:p>
        </w:tc>
        <w:tc>
          <w:tcPr>
            <w:tcW w:w="7088" w:type="dxa"/>
          </w:tcPr>
          <w:p>
            <w:pPr>
              <w:pStyle w:val="TableText"/>
            </w:pPr>
            <w:r>
              <w:t xml:space="preserve">Individual; Organization</w:t>
            </w:r>
          </w:p>
        </w:tc>
      </w:tr>
      <w:tr>
        <w:trPr>
          <w:cantSplit/>
        </w:trPr>
        <w:tc>
          <w:tcPr>
            <w:tcW w:w="2552" w:type="dxa"/>
          </w:tcPr>
          <w:p>
            <w:pPr>
              <w:pStyle w:val="TableText"/>
            </w:pPr>
            <w:r>
              <w:rPr>
                <w:b/>
                <w:bCs/>
              </w:rPr>
              <w:t xml:space="preserve">How to apply</w:t>
            </w:r>
          </w:p>
        </w:tc>
        <w:tc>
          <w:tcPr>
            <w:tcW w:w="7088" w:type="dxa"/>
          </w:tcPr>
          <w:p>
            <w:pPr>
              <w:pStyle w:val="TableText"/>
            </w:pPr>
            <w:r>
              <w:t xml:space="preserve">Online on the national e-Services portal, signed in with ZamPass; pay with ZamPay.</w:t>
            </w:r>
          </w:p>
        </w:tc>
      </w:tr>
      <w:tr>
        <w:trPr>
          <w:cantSplit/>
        </w:trPr>
        <w:tc>
          <w:tcPr>
            <w:tcW w:w="2552" w:type="dxa"/>
          </w:tcPr>
          <w:p>
            <w:pPr>
              <w:pStyle w:val="TableText"/>
            </w:pPr>
            <w:r>
              <w:rPr>
                <w:b/>
                <w:bCs/>
              </w:rPr>
              <w:t xml:space="preserve">Fees</w:t>
            </w:r>
          </w:p>
        </w:tc>
        <w:tc>
          <w:tcPr>
            <w:tcW w:w="7088" w:type="dxa"/>
          </w:tcPr>
          <w:p>
            <w:pPr>
              <w:pStyle w:val="TableText"/>
            </w:pPr>
            <w:r>
              <w:t xml:space="preserve">Registration: ZMW 444.80</w:t>
            </w:r>
            <w:r>
              <w:br/>
              <w:t xml:space="preserve">Preparation: ZMW 221.60</w:t>
            </w:r>
          </w:p>
        </w:tc>
      </w:tr>
      <w:tr>
        <w:trPr>
          <w:cantSplit/>
        </w:trPr>
        <w:tc>
          <w:tcPr>
            <w:tcW w:w="2552" w:type="dxa"/>
          </w:tcPr>
          <w:p>
            <w:pPr>
              <w:pStyle w:val="TableText"/>
            </w:pPr>
            <w:r>
              <w:rPr>
                <w:b/>
                <w:bCs/>
              </w:rPr>
              <w:t xml:space="preserve">Turnaround</w:t>
            </w:r>
          </w:p>
        </w:tc>
        <w:tc>
          <w:tcPr>
            <w:tcW w:w="7088" w:type="dxa"/>
          </w:tcPr>
          <w:p>
            <w:pPr>
              <w:pStyle w:val="TableText"/>
            </w:pPr>
            <w:r>
              <w:t xml:space="preserve">30 days after payment completion</w:t>
            </w:r>
          </w:p>
        </w:tc>
      </w:tr>
      <w:tr>
        <w:trPr>
          <w:cantSplit/>
        </w:trPr>
        <w:tc>
          <w:tcPr>
            <w:tcW w:w="2552" w:type="dxa"/>
          </w:tcPr>
          <w:p>
            <w:pPr>
              <w:pStyle w:val="TableText"/>
            </w:pPr>
            <w:r>
              <w:rPr>
                <w:b/>
                <w:bCs/>
              </w:rPr>
              <w:t xml:space="preserve">Validity of the output</w:t>
            </w:r>
          </w:p>
        </w:tc>
        <w:tc>
          <w:tcPr>
            <w:tcW w:w="7088" w:type="dxa"/>
          </w:tcPr>
          <w:p>
            <w:pPr>
              <w:pStyle w:val="TableText"/>
            </w:pPr>
            <w:r>
              <w:t xml:space="preserve">End date of the Lease Agreement.</w:t>
            </w:r>
            <w:r>
              <w:br/>
              <w:t xml:space="preserve">Maximum 99 years</w:t>
            </w:r>
          </w:p>
        </w:tc>
      </w:tr>
      <w:tr>
        <w:trPr>
          <w:cantSplit/>
        </w:trPr>
        <w:tc>
          <w:tcPr>
            <w:tcW w:w="2552" w:type="dxa"/>
          </w:tcPr>
          <w:p>
            <w:pPr>
              <w:pStyle w:val="TableText"/>
            </w:pPr>
            <w:r>
              <w:rPr>
                <w:b/>
                <w:bCs/>
              </w:rPr>
              <w:t xml:space="preserve">Required documents</w:t>
            </w:r>
          </w:p>
        </w:tc>
        <w:tc>
          <w:tcPr>
            <w:tcW w:w="7088" w:type="dxa"/>
          </w:tcPr>
          <w:p>
            <w:pPr>
              <w:pStyle w:val="TableText"/>
            </w:pPr>
            <w:r>
              <w:t xml:space="preserve">National Registration Card (NRC) (required)</w:t>
            </w:r>
            <w:r>
              <w:br/>
              <w:t xml:space="preserve">Certificate of Incorporation / ZDA (if company, church, society) (required)</w:t>
            </w:r>
            <w:r>
              <w:br/>
              <w:t xml:space="preserve">Recommendation letter from the Department of Resettlement under the office of the Vice President (required)</w:t>
            </w:r>
            <w:r>
              <w:br/>
              <w:t xml:space="preserve">Form DR1 from the Department of Resettlement under the office of the Vice President (required)</w:t>
            </w:r>
            <w:r>
              <w:br/>
              <w:t xml:space="preserve">Numbered Site Plan (optional)</w:t>
            </w:r>
            <w:r>
              <w:br/>
              <w:t xml:space="preserve">Survey Diagram (optional)</w:t>
            </w:r>
          </w:p>
        </w:tc>
      </w:tr>
      <w:tr>
        <w:trPr>
          <w:cantSplit/>
        </w:trPr>
        <w:tc>
          <w:tcPr>
            <w:tcW w:w="2552" w:type="dxa"/>
          </w:tcPr>
          <w:p>
            <w:pPr>
              <w:pStyle w:val="TableText"/>
            </w:pPr>
            <w:r>
              <w:rPr>
                <w:b/>
                <w:bCs/>
              </w:rPr>
              <w:t xml:space="preserve">Output documents</w:t>
            </w:r>
          </w:p>
        </w:tc>
        <w:tc>
          <w:tcPr>
            <w:tcW w:w="7088" w:type="dxa"/>
          </w:tcPr>
          <w:p>
            <w:pPr>
              <w:pStyle w:val="TableText"/>
            </w:pPr>
            <w:r>
              <w:t xml:space="preserve">Notice of Action</w:t>
            </w:r>
            <w:r>
              <w:br/>
              <w:t xml:space="preserve">Application form</w:t>
            </w:r>
            <w:r>
              <w:br/>
              <w:t xml:space="preserve">Certificate of Title</w:t>
            </w:r>
          </w:p>
        </w:tc>
      </w:tr>
      <w:tr>
        <w:trPr>
          <w:cantSplit/>
        </w:trPr>
        <w:tc>
          <w:tcPr>
            <w:tcW w:w="2552" w:type="dxa"/>
          </w:tcPr>
          <w:p>
            <w:pPr>
              <w:pStyle w:val="TableText"/>
            </w:pPr>
            <w:r>
              <w:rPr>
                <w:b/>
                <w:bCs/>
              </w:rPr>
              <w:t xml:space="preserve">Legal basis</w:t>
            </w:r>
          </w:p>
        </w:tc>
        <w:tc>
          <w:tcPr>
            <w:tcW w:w="7088" w:type="dxa"/>
          </w:tcPr>
          <w:p>
            <w:pPr>
              <w:pStyle w:val="TableText"/>
            </w:pPr>
            <w:r>
              <w:t xml:space="preserve">Lands Act Cap 184 of 1995 (http://www.parliament.gov.zm/sites/default/files/documents/acts/Lands%20Act.pdf)</w:t>
            </w:r>
          </w:p>
        </w:tc>
      </w:tr>
    </w:tbl>
    <w:p>
      <w:pPr>
        <w:pStyle w:val="Heading1"/>
        <w:keepNext/>
      </w:pPr>
      <w:r>
        <w:t xml:space="preserve">2. Application process, step by step</w:t>
      </w:r>
    </w:p>
    <w:p>
      <w:pPr>
        <w:pStyle w:val="Heading2"/>
        <w:keepNext/>
      </w:pPr>
      <w:r>
        <w:t xml:space="preserve">The process as configured</w:t>
      </w:r>
    </w:p>
    <w:tbl>
      <w:tblPr>
        <w:tblStyle w:val="GSBTable"/>
        <w:tblW w:w="9639" w:type="dxa"/>
        <w:tblLayout w:type="fixed"/>
        <w:tblLook w:val="04A0" w:firstRow="1" w:lastRow="0" w:firstColumn="0" w:lastColumn="0" w:noHBand="0" w:noVBand="1"/>
      </w:tblPr>
      <w:tblGrid>
        <w:gridCol w:w="794"/>
        <w:gridCol w:w="2268"/>
        <w:gridCol w:w="4026"/>
        <w:gridCol w:w="2552"/>
      </w:tblGrid>
      <w:tr>
        <w:trPr>
          <w:tblHeader/>
          <w:cantSplit/>
        </w:trPr>
        <w:tc>
          <w:tcPr>
            <w:tcW w:w="794" w:type="dxa"/>
          </w:tcPr>
          <w:p>
            <w:pPr>
              <w:pStyle w:val="TableText"/>
            </w:pPr>
            <w:r>
              <w:rPr>
                <w:b/>
                <w:bCs/>
              </w:rPr>
              <w:t xml:space="preserve">Step</w:t>
            </w:r>
          </w:p>
        </w:tc>
        <w:tc>
          <w:tcPr>
            <w:tcW w:w="2268" w:type="dxa"/>
          </w:tcPr>
          <w:p>
            <w:pPr>
              <w:pStyle w:val="TableText"/>
            </w:pPr>
            <w:r>
              <w:rPr>
                <w:b/>
                <w:bCs/>
              </w:rPr>
              <w:t xml:space="preserve">Role</w:t>
            </w:r>
          </w:p>
        </w:tc>
        <w:tc>
          <w:tcPr>
            <w:tcW w:w="4026" w:type="dxa"/>
          </w:tcPr>
          <w:p>
            <w:pPr>
              <w:pStyle w:val="TableText"/>
            </w:pPr>
            <w:r>
              <w:rPr>
                <w:b/>
                <w:bCs/>
              </w:rPr>
              <w:t xml:space="preserve">Task</w:t>
            </w:r>
          </w:p>
        </w:tc>
        <w:tc>
          <w:tcPr>
            <w:tcW w:w="2552" w:type="dxa"/>
          </w:tcPr>
          <w:p>
            <w:pPr>
              <w:pStyle w:val="TableText"/>
            </w:pPr>
            <w:r>
              <w:rPr>
                <w:b/>
                <w:bCs/>
              </w:rPr>
              <w:t xml:space="preserve">Type</w:t>
            </w:r>
          </w:p>
        </w:tc>
      </w:tr>
      <w:tr>
        <w:trPr>
          <w:cantSplit/>
        </w:trPr>
        <w:tc>
          <w:tcPr>
            <w:tcW w:w="794" w:type="dxa"/>
          </w:tcPr>
          <w:p>
            <w:pPr>
              <w:pStyle w:val="TableText"/>
            </w:pPr>
            <w:r>
              <w:t xml:space="preserve">1</w:t>
            </w:r>
          </w:p>
        </w:tc>
        <w:tc>
          <w:tcPr>
            <w:tcW w:w="2268" w:type="dxa"/>
          </w:tcPr>
          <w:p>
            <w:pPr>
              <w:pStyle w:val="TableText"/>
            </w:pPr>
            <w:r>
              <w:t xml:space="preserve">Applicant</w:t>
            </w:r>
          </w:p>
        </w:tc>
        <w:tc>
          <w:tcPr>
            <w:tcW w:w="4026" w:type="dxa"/>
          </w:tcPr>
          <w:p>
            <w:pPr>
              <w:pStyle w:val="TableText"/>
            </w:pPr>
            <w:r>
              <w:t xml:space="preserve">Apply</w:t>
            </w:r>
          </w:p>
        </w:tc>
        <w:tc>
          <w:tcPr>
            <w:tcW w:w="2552" w:type="dxa"/>
          </w:tcPr>
          <w:p>
            <w:pPr>
              <w:pStyle w:val="TableText"/>
            </w:pPr>
            <w:r>
              <w:t xml:space="preserve">form</w:t>
            </w:r>
          </w:p>
        </w:tc>
      </w:tr>
      <w:tr>
        <w:trPr>
          <w:cantSplit/>
        </w:trPr>
        <w:tc>
          <w:tcPr>
            <w:tcW w:w="794" w:type="dxa"/>
          </w:tcPr>
          <w:p>
            <w:pPr>
              <w:pStyle w:val="TableText"/>
            </w:pPr>
            <w:r>
              <w:t xml:space="preserve">2</w:t>
            </w:r>
          </w:p>
        </w:tc>
        <w:tc>
          <w:tcPr>
            <w:tcW w:w="2268" w:type="dxa"/>
          </w:tcPr>
          <w:p>
            <w:pPr>
              <w:pStyle w:val="TableText"/>
            </w:pPr>
            <w:r>
              <w:t xml:space="preserve">Case Officer</w:t>
            </w:r>
          </w:p>
        </w:tc>
        <w:tc>
          <w:tcPr>
            <w:tcW w:w="4026" w:type="dxa"/>
          </w:tcPr>
          <w:p>
            <w:pPr>
              <w:pStyle w:val="TableText"/>
            </w:pPr>
            <w:r>
              <w:t xml:space="preserve">Generate Payment</w:t>
            </w:r>
          </w:p>
        </w:tc>
        <w:tc>
          <w:tcPr>
            <w:tcW w:w="2552" w:type="dxa"/>
          </w:tcPr>
          <w:p>
            <w:pPr>
              <w:pStyle w:val="TableText"/>
            </w:pPr>
            <w:r>
              <w:t xml:space="preserve">generate-payment</w:t>
            </w:r>
          </w:p>
        </w:tc>
      </w:tr>
      <w:tr>
        <w:trPr>
          <w:cantSplit/>
        </w:trPr>
        <w:tc>
          <w:tcPr>
            <w:tcW w:w="794" w:type="dxa"/>
          </w:tcPr>
          <w:p>
            <w:pPr>
              <w:pStyle w:val="TableText"/>
            </w:pPr>
            <w:r>
              <w:t xml:space="preserve">3</w:t>
            </w:r>
          </w:p>
        </w:tc>
        <w:tc>
          <w:tcPr>
            <w:tcW w:w="2268" w:type="dxa"/>
          </w:tcPr>
          <w:p>
            <w:pPr>
              <w:pStyle w:val="TableText"/>
            </w:pPr>
            <w:r>
              <w:t xml:space="preserve">Applicant</w:t>
            </w:r>
          </w:p>
        </w:tc>
        <w:tc>
          <w:tcPr>
            <w:tcW w:w="4026" w:type="dxa"/>
          </w:tcPr>
          <w:p>
            <w:pPr>
              <w:pStyle w:val="TableText"/>
            </w:pPr>
            <w:r>
              <w:t xml:space="preserve">Payment</w:t>
            </w:r>
          </w:p>
        </w:tc>
        <w:tc>
          <w:tcPr>
            <w:tcW w:w="2552" w:type="dxa"/>
          </w:tcPr>
          <w:p>
            <w:pPr>
              <w:pStyle w:val="TableText"/>
            </w:pPr>
            <w:r>
              <w:t xml:space="preserve">payment</w:t>
            </w:r>
          </w:p>
        </w:tc>
      </w:tr>
      <w:tr>
        <w:trPr>
          <w:cantSplit/>
        </w:trPr>
        <w:tc>
          <w:tcPr>
            <w:tcW w:w="794" w:type="dxa"/>
          </w:tcPr>
          <w:p>
            <w:pPr>
              <w:pStyle w:val="TableText"/>
            </w:pPr>
            <w:r>
              <w:t xml:space="preserve">4</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5</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6</w:t>
            </w:r>
          </w:p>
        </w:tc>
        <w:tc>
          <w:tcPr>
            <w:tcW w:w="2268" w:type="dxa"/>
          </w:tcPr>
          <w:p>
            <w:pPr>
              <w:pStyle w:val="TableText"/>
            </w:pPr>
            <w:r>
              <w:t xml:space="preserve">Supervisor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7</w:t>
            </w:r>
          </w:p>
        </w:tc>
        <w:tc>
          <w:tcPr>
            <w:tcW w:w="2268" w:type="dxa"/>
          </w:tcPr>
          <w:p>
            <w:pPr>
              <w:pStyle w:val="TableText"/>
            </w:pPr>
            <w:r>
              <w:t xml:space="preserve">Executive</w:t>
            </w:r>
          </w:p>
        </w:tc>
        <w:tc>
          <w:tcPr>
            <w:tcW w:w="4026" w:type="dxa"/>
          </w:tcPr>
          <w:p>
            <w:pPr>
              <w:pStyle w:val="TableText"/>
            </w:pPr>
            <w:r>
              <w:t xml:space="preserve">Approve</w:t>
            </w:r>
          </w:p>
        </w:tc>
        <w:tc>
          <w:tcPr>
            <w:tcW w:w="2552" w:type="dxa"/>
          </w:tcPr>
          <w:p>
            <w:pPr>
              <w:pStyle w:val="TableText"/>
            </w:pPr>
            <w:r>
              <w:t xml:space="preserve">approve</w:t>
            </w:r>
          </w:p>
        </w:tc>
      </w:tr>
      <w:tr>
        <w:trPr>
          <w:cantSplit/>
        </w:trPr>
        <w:tc>
          <w:tcPr>
            <w:tcW w:w="794" w:type="dxa"/>
          </w:tcPr>
          <w:p>
            <w:pPr>
              <w:pStyle w:val="TableText"/>
            </w:pPr>
            <w:r>
              <w:t xml:space="preserve">8</w:t>
            </w:r>
          </w:p>
        </w:tc>
        <w:tc>
          <w:tcPr>
            <w:tcW w:w="2268" w:type="dxa"/>
          </w:tcPr>
          <w:p>
            <w:pPr>
              <w:pStyle w:val="TableText"/>
            </w:pPr>
            <w:r>
              <w:t xml:space="preserve">Case Officer</w:t>
            </w:r>
          </w:p>
        </w:tc>
        <w:tc>
          <w:tcPr>
            <w:tcW w:w="4026" w:type="dxa"/>
          </w:tcPr>
          <w:p>
            <w:pPr>
              <w:pStyle w:val="TableText"/>
            </w:pPr>
            <w:r>
              <w:t xml:space="preserve">Verify Payment</w:t>
            </w:r>
          </w:p>
        </w:tc>
        <w:tc>
          <w:tcPr>
            <w:tcW w:w="2552" w:type="dxa"/>
          </w:tcPr>
          <w:p>
            <w:pPr>
              <w:pStyle w:val="TableText"/>
            </w:pPr>
            <w:r>
              <w:t xml:space="preserve">verify-payment</w:t>
            </w:r>
          </w:p>
        </w:tc>
      </w:tr>
      <w:tr>
        <w:trPr>
          <w:cantSplit/>
        </w:trPr>
        <w:tc>
          <w:tcPr>
            <w:tcW w:w="794" w:type="dxa"/>
          </w:tcPr>
          <w:p>
            <w:pPr>
              <w:pStyle w:val="TableText"/>
            </w:pPr>
            <w:r>
              <w:t xml:space="preserve">9</w:t>
            </w:r>
          </w:p>
        </w:tc>
        <w:tc>
          <w:tcPr>
            <w:tcW w:w="2268" w:type="dxa"/>
          </w:tcPr>
          <w:p>
            <w:pPr>
              <w:pStyle w:val="TableText"/>
            </w:pPr>
            <w:r>
              <w:t xml:space="preserve">Supervisor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10</w:t>
            </w:r>
          </w:p>
        </w:tc>
        <w:tc>
          <w:tcPr>
            <w:tcW w:w="2268" w:type="dxa"/>
          </w:tcPr>
          <w:p>
            <w:pPr>
              <w:pStyle w:val="TableText"/>
            </w:pPr>
            <w:r>
              <w:t xml:space="preserve">Executive</w:t>
            </w:r>
          </w:p>
        </w:tc>
        <w:tc>
          <w:tcPr>
            <w:tcW w:w="4026" w:type="dxa"/>
          </w:tcPr>
          <w:p>
            <w:pPr>
              <w:pStyle w:val="TableText"/>
            </w:pPr>
            <w:r>
              <w:t xml:space="preserve">Approve</w:t>
            </w:r>
          </w:p>
        </w:tc>
        <w:tc>
          <w:tcPr>
            <w:tcW w:w="2552" w:type="dxa"/>
          </w:tcPr>
          <w:p>
            <w:pPr>
              <w:pStyle w:val="TableText"/>
            </w:pPr>
            <w:r>
              <w:t xml:space="preserve">approve</w:t>
            </w:r>
          </w:p>
        </w:tc>
      </w:tr>
      <w:tr>
        <w:trPr>
          <w:cantSplit/>
        </w:trPr>
        <w:tc>
          <w:tcPr>
            <w:tcW w:w="794" w:type="dxa"/>
          </w:tcPr>
          <w:p>
            <w:pPr>
              <w:pStyle w:val="TableText"/>
            </w:pPr>
            <w:r>
              <w:t xml:space="preserve">11</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12</w:t>
            </w:r>
          </w:p>
        </w:tc>
        <w:tc>
          <w:tcPr>
            <w:tcW w:w="2268" w:type="dxa"/>
          </w:tcPr>
          <w:p>
            <w:pPr>
              <w:pStyle w:val="TableText"/>
            </w:pPr>
            <w:r>
              <w:t xml:space="preserve">Executive</w:t>
            </w:r>
          </w:p>
        </w:tc>
        <w:tc>
          <w:tcPr>
            <w:tcW w:w="4026" w:type="dxa"/>
          </w:tcPr>
          <w:p>
            <w:pPr>
              <w:pStyle w:val="TableText"/>
            </w:pPr>
            <w:r>
              <w:t xml:space="preserve">Decision</w:t>
            </w:r>
          </w:p>
        </w:tc>
        <w:tc>
          <w:tcPr>
            <w:tcW w:w="2552" w:type="dxa"/>
          </w:tcPr>
          <w:p>
            <w:pPr>
              <w:pStyle w:val="TableText"/>
            </w:pPr>
            <w:r>
              <w:t xml:space="preserve">decision</w:t>
            </w:r>
          </w:p>
        </w:tc>
      </w:tr>
      <w:tr>
        <w:trPr>
          <w:cantSplit/>
        </w:trPr>
        <w:tc>
          <w:tcPr>
            <w:tcW w:w="794" w:type="dxa"/>
          </w:tcPr>
          <w:p>
            <w:pPr>
              <w:pStyle w:val="TableText"/>
            </w:pPr>
            <w:r>
              <w:t xml:space="preserve">13</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14</w:t>
            </w:r>
          </w:p>
        </w:tc>
        <w:tc>
          <w:tcPr>
            <w:tcW w:w="2268" w:type="dxa"/>
          </w:tcPr>
          <w:p>
            <w:pPr>
              <w:pStyle w:val="TableText"/>
            </w:pPr>
            <w:r>
              <w:t xml:space="preserve">System</w:t>
            </w:r>
          </w:p>
        </w:tc>
        <w:tc>
          <w:tcPr>
            <w:tcW w:w="4026" w:type="dxa"/>
          </w:tcPr>
          <w:p>
            <w:pPr>
              <w:pStyle w:val="TableText"/>
            </w:pPr>
            <w:r>
              <w:t xml:space="preserve">Notify Client</w:t>
            </w:r>
          </w:p>
        </w:tc>
        <w:tc>
          <w:tcPr>
            <w:tcW w:w="2552" w:type="dxa"/>
          </w:tcPr>
          <w:p>
            <w:pPr>
              <w:pStyle w:val="TableText"/>
            </w:pPr>
            <w:r>
              <w:t xml:space="preserve">notify</w:t>
            </w:r>
          </w:p>
        </w:tc>
      </w:tr>
    </w:tbl>
    <w:p>
      <w:pPr>
        <w:pStyle w:val="Heading2"/>
        <w:keepNext/>
      </w:pPr>
      <w:r>
        <w:t xml:space="preserve">Step by step</w:t>
      </w:r>
    </w:p>
    <w:p>
      <w:r>
        <w:t xml:space="preserve">Who takes part in this journey: Citizen, Case Officer, Supervisor, Executive, Anyone (public). Citizen steps are shown on a desktop and on a 375 px phone; back-office steps on a desktop.</w:t>
      </w:r>
    </w:p>
    <w:p>
      <w:pPr>
        <w:pStyle w:val="Heading3"/>
        <w:keepNext/>
      </w:pPr>
      <w:r>
        <w:t xml:space="preserve">Step 1. Find the service</w:t>
      </w:r>
    </w:p>
    <w:p>
      <w:pPr>
        <w:keepNext/>
      </w:pPr>
      <w:r>
        <w:rPr>
          <w:i/>
          <w:iCs/>
        </w:rPr>
        <w:t xml:space="preserve">Citizen · National e-Services portal</w:t>
      </w:r>
    </w:p>
    <w:p>
      <w:pPr>
        <w:keepNext/>
      </w:pPr>
      <w:r>
        <w:t xml:space="preserve">On the national e-Services portal the citizen opens All Services and searches for the service by name ("Application for Resettlements"). Each result names the service and the ministry that provides it.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1" name="img001.png" descr="Find the servic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img001.png" descr="Find the service - desktop"/>
                          <pic:cNvPicPr/>
                        </pic:nvPicPr>
                        <pic:blipFill>
                          <a:blip r:embed="rIdImg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2" name="img002.png" descr="Find the servic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img002.png" descr="Find the service - 375 px phone"/>
                          <pic:cNvPicPr/>
                        </pic:nvPicPr>
                        <pic:blipFill>
                          <a:blip r:embed="rIdImg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 Find the service - desktop (left) and a 375 px phone (right).</w:t>
      </w:r>
    </w:p>
    <w:p>
      <w:pPr>
        <w:pStyle w:val="Heading3"/>
        <w:keepNext/>
      </w:pPr>
      <w:r>
        <w:t xml:space="preserve">Step 2. Read the service page</w:t>
      </w:r>
    </w:p>
    <w:p>
      <w:pPr>
        <w:keepNext/>
      </w:pPr>
      <w:r>
        <w:rPr>
          <w:i/>
          <w:iCs/>
        </w:rPr>
        <w:t xml:space="preserve">Citizen · National e-Services portal</w:t>
      </w:r>
    </w:p>
    <w:p>
      <w:pPr>
        <w:keepNext/>
      </w:pPr>
      <w:r>
        <w:t xml:space="preserve">The service page sets out what the service is for, who provides it, the fee, how long it takes and the documents to have ready. "Start application" begins an application (the citizen is signed in with ZamPass).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3" name="img003.png" descr="Read the service pag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img003.png" descr="Read the service page - desktop"/>
                          <pic:cNvPicPr/>
                        </pic:nvPicPr>
                        <pic:blipFill>
                          <a:blip r:embed="rIdImg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4" name="img004.png" descr="Read the service pag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img004.png" descr="Read the service page - 375 px phone"/>
                          <pic:cNvPicPr/>
                        </pic:nvPicPr>
                        <pic:blipFill>
                          <a:blip r:embed="rIdImg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 Read the service page - desktop (left) and a 375 px phone (right).</w:t>
      </w:r>
    </w:p>
    <w:p>
      <w:pPr>
        <w:pStyle w:val="Heading3"/>
        <w:keepNext/>
      </w:pPr>
      <w:r>
        <w:t xml:space="preserve">Step 3. Confirm the applicant details</w:t>
      </w:r>
    </w:p>
    <w:p>
      <w:pPr>
        <w:keepNext/>
      </w:pPr>
      <w:r>
        <w:rPr>
          <w:i/>
          <w:iCs/>
        </w:rPr>
        <w:t xml:space="preserve">Citizen · National e-Services portal</w:t>
      </w:r>
    </w:p>
    <w:p>
      <w:pPr>
        <w:keepNext/>
      </w:pPr>
      <w:r>
        <w:t xml:space="preserve">The applicant details are filled in from the citizen's ZamPass account. The citizen says whom they are applying for (themself) and continues with "Proceed to Application".</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5" name="img005.png" descr="Confirm the applicant detail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img005.png" descr="Confirm the applicant details - desktop"/>
                          <pic:cNvPicPr/>
                        </pic:nvPicPr>
                        <pic:blipFill>
                          <a:blip r:embed="rIdImg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6" name="img006.png" descr="Confirm the applicant detail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img006.png" descr="Confirm the applicant details - 375 px phone"/>
                          <pic:cNvPicPr/>
                        </pic:nvPicPr>
                        <pic:blipFill>
                          <a:blip r:embed="rIdImg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3: Confirm the applicant details - desktop (left) and a 375 px phone (right).</w:t>
      </w:r>
    </w:p>
    <w:p>
      <w:pPr>
        <w:pStyle w:val="Heading3"/>
        <w:keepNext/>
      </w:pPr>
      <w:r>
        <w:t xml:space="preserve">Step 4. Fill in the application form</w:t>
      </w:r>
    </w:p>
    <w:p>
      <w:pPr>
        <w:keepNext/>
      </w:pPr>
      <w:r>
        <w:rPr>
          <w:i/>
          <w:iCs/>
        </w:rPr>
        <w:t xml:space="preserve">Citizen · National e-Services portal</w:t>
      </w:r>
    </w:p>
    <w:p>
      <w:pPr>
        <w:keepNext/>
      </w:pPr>
      <w:r>
        <w:t xml:space="preserve">The citizen answers the service's own application form, converted from the legacy system (25 answers in this run, all synthetic), for the type of application "New". Questions marked * must be answered; some appear only after an earlier answer. Answers are saved as the citizen types, so an unfinished application can be reopened from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12839824"/>
                  <wp:effectExtent l="0" t="0" r="0" b="0"/>
                  <wp:docPr id="1007" name="img007.png" descr="Fill in the application form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img007.png" descr="Fill in the application form - desktop"/>
                          <pic:cNvPicPr/>
                        </pic:nvPicPr>
                        <pic:blipFill>
                          <a:blip r:embed="rIdImg7"/>
                          <a:stretch>
                            <a:fillRect/>
                          </a:stretch>
                        </pic:blipFill>
                        <pic:spPr>
                          <a:xfrm>
                            <a:off x="0" y="0"/>
                            <a:ext cx="4176000" cy="12839824"/>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8" name="img008.png" descr="Fill in the application form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img008.png" descr="Fill in the application form - 375 px phone"/>
                          <pic:cNvPicPr/>
                        </pic:nvPicPr>
                        <pic:blipFill>
                          <a:blip r:embed="rIdImg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4: Fill in the application form - desktop (left) and a 375 px phone (right).</w:t>
      </w:r>
    </w:p>
    <w:p>
      <w:pPr>
        <w:pStyle w:val="Heading3"/>
        <w:keepNext/>
      </w:pPr>
      <w:r>
        <w:t xml:space="preserve">Step 5. Upload the supporting documents</w:t>
      </w:r>
    </w:p>
    <w:p>
      <w:pPr>
        <w:keepNext/>
      </w:pPr>
      <w:r>
        <w:rPr>
          <w:i/>
          <w:iCs/>
        </w:rPr>
        <w:t xml:space="preserve">Citizen · National e-Services portal</w:t>
      </w:r>
    </w:p>
    <w:p>
      <w:pPr>
        <w:keepNext/>
      </w:pPr>
      <w:r>
        <w:t xml:space="preserve">Each document the service asks for has its own upload (6 in this run: National Registration Card (NRC), Certificate of Incorporation / ZDA (if company, church, society), Recommendation letter from the Department of Resettlement under the office of the Vice President, Form DR1 from the Department of Resettlement under the office of the Vice President, Numbered Site Plan, Survey Diagram). The files are checked and stored with the application; the page confirms each upload.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9" name="img009.png" descr="Upload the supporting documen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img009.png" descr="Upload the supporting documents - desktop"/>
                          <pic:cNvPicPr/>
                        </pic:nvPicPr>
                        <pic:blipFill>
                          <a:blip r:embed="rIdImg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0" name="img010.png" descr="Upload the supporting documen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img010.png" descr="Upload the supporting documents - 375 px phone"/>
                          <pic:cNvPicPr/>
                        </pic:nvPicPr>
                        <pic:blipFill>
                          <a:blip r:embed="rIdImg1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5: Upload the supporting documents - desktop (left) and a 375 px phone (right).</w:t>
      </w:r>
    </w:p>
    <w:p>
      <w:pPr>
        <w:pStyle w:val="Heading3"/>
        <w:keepNext/>
      </w:pPr>
      <w:r>
        <w:t xml:space="preserve">Step 6. Check the answers and confirm the declaration</w:t>
      </w:r>
    </w:p>
    <w:p>
      <w:pPr>
        <w:keepNext/>
      </w:pPr>
      <w:r>
        <w:rPr>
          <w:i/>
          <w:iCs/>
        </w:rPr>
        <w:t xml:space="preserve">Citizen · National e-Services portal</w:t>
      </w:r>
    </w:p>
    <w:p>
      <w:pPr>
        <w:keepNext/>
      </w:pPr>
      <w:r>
        <w:t xml:space="preserve">Before sending, the citizen sees every answer and document on one page and can go back to change them. The declaration that the information is true and complete must be ticked.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9819408"/>
                  <wp:effectExtent l="0" t="0" r="0" b="0"/>
                  <wp:docPr id="1011" name="img011.png" descr="Check the answers and confirm the declaration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img011.png" descr="Check the answers and confirm the declaration - desktop"/>
                          <pic:cNvPicPr/>
                        </pic:nvPicPr>
                        <pic:blipFill>
                          <a:blip r:embed="rIdImg11"/>
                          <a:stretch>
                            <a:fillRect/>
                          </a:stretch>
                        </pic:blipFill>
                        <pic:spPr>
                          <a:xfrm>
                            <a:off x="0" y="0"/>
                            <a:ext cx="4176000" cy="9819408"/>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2" name="img012.png" descr="Check the answers and confirm the declaration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img012.png" descr="Check the answers and confirm the declaration - 375 px phone"/>
                          <pic:cNvPicPr/>
                        </pic:nvPicPr>
                        <pic:blipFill>
                          <a:blip r:embed="rIdImg1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6: Check the answers and confirm the declaration - desktop (left) and a 375 px phone (right).</w:t>
      </w:r>
    </w:p>
    <w:p>
      <w:pPr>
        <w:pStyle w:val="Heading3"/>
        <w:keepNext/>
      </w:pPr>
      <w:r>
        <w:t xml:space="preserve">Step 7. Application sent</w:t>
      </w:r>
    </w:p>
    <w:p>
      <w:pPr>
        <w:keepNext/>
      </w:pPr>
      <w:r>
        <w:rPr>
          <w:i/>
          <w:iCs/>
        </w:rPr>
        <w:t xml:space="preserve">Citizen · National e-Services portal</w:t>
      </w:r>
    </w:p>
    <w:p>
      <w:pPr>
        <w:keepNext/>
      </w:pPr>
      <w:r>
        <w:t xml:space="preserve">The portal confirms the application with the ministry's reference number (MLNR-AR/00001/10-21-26 in this run). The application goes to the ministry's officers; the citizen follows it in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3" name="img013.png" descr="Application s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img013.png" descr="Application sent - desktop"/>
                          <pic:cNvPicPr/>
                        </pic:nvPicPr>
                        <pic:blipFill>
                          <a:blip r:embed="rIdImg1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4" name="img014.png" descr="Application s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img014.png" descr="Application sent - 375 px phone"/>
                          <pic:cNvPicPr/>
                        </pic:nvPicPr>
                        <pic:blipFill>
                          <a:blip r:embed="rIdImg1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7: Application sent - desktop (left) and a 375 px phone (right).</w:t>
      </w:r>
    </w:p>
    <w:p>
      <w:pPr>
        <w:pStyle w:val="Heading3"/>
        <w:keepNext/>
      </w:pPr>
      <w:r>
        <w:t xml:space="preserve">Step 8. Take the new application on</w:t>
      </w:r>
    </w:p>
    <w:p>
      <w:pPr>
        <w:keepNext/>
      </w:pPr>
      <w:r>
        <w:rPr>
          <w:i/>
          <w:iCs/>
        </w:rPr>
        <w:t xml:space="preserve">Case Officer · Back office</w:t>
      </w:r>
    </w:p>
    <w:p>
      <w:pPr>
        <w:keepNext/>
      </w:pPr>
      <w:r>
        <w:t xml:space="preserve">The application arrives in the case queue of the ministry that owns the service (Lands Department); only its staff see it. The officer opens it by its reference number - answers, documents and process are on the case - assigns it to themself and takes it on.</w:t>
      </w:r>
    </w:p>
    <w:p>
      <w:pPr>
        <w:keepNext/>
        <w:spacing w:after="0"/>
        <w:jc w:val="center"/>
      </w:pPr>
      <w:r>
        <w:drawing>
          <wp:inline distT="0" distB="0" distL="0" distR="0">
            <wp:extent cx="5940000" cy="3913616"/>
            <wp:effectExtent l="0" t="0" r="0" b="0"/>
            <wp:docPr id="1015" name="img015.png" descr="Take the new application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img015.png" descr="Take the new application on"/>
                    <pic:cNvPicPr/>
                  </pic:nvPicPr>
                  <pic:blipFill>
                    <a:blip r:embed="rIdImg1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8: Take the new application on.</w:t>
      </w:r>
    </w:p>
    <w:p>
      <w:pPr>
        <w:pStyle w:val="Heading3"/>
        <w:keepNext/>
      </w:pPr>
      <w:r>
        <w:t xml:space="preserve">Step 9. Fill in the certificate particulars</w:t>
      </w:r>
    </w:p>
    <w:p>
      <w:pPr>
        <w:keepNext/>
      </w:pPr>
      <w:r>
        <w:rPr>
          <w:i/>
          <w:iCs/>
        </w:rPr>
        <w:t xml:space="preserve">Case Officer · Back office</w:t>
      </w:r>
    </w:p>
    <w:p>
      <w:pPr>
        <w:keepNext/>
      </w:pPr>
      <w:r>
        <w:t xml:space="preserve">The issued document prints 7 fields that come from the office rather than from the application (Lot Id, Additional Details, Lease Commencement Date, Result co tnumber, Final tenancy method, Entry No of Certificate of Title, Vw mlnr lot memorials). The officer fills them in on the case's "Certificate particulars" tab before the document is issued (synthetic values in this run) and saves; once the document is issued they can no longer change.</w:t>
      </w:r>
    </w:p>
    <w:p>
      <w:pPr>
        <w:keepNext/>
        <w:spacing w:after="0"/>
        <w:jc w:val="center"/>
      </w:pPr>
      <w:r>
        <w:drawing>
          <wp:inline distT="0" distB="0" distL="0" distR="0">
            <wp:extent cx="5940000" cy="3913616"/>
            <wp:effectExtent l="0" t="0" r="0" b="0"/>
            <wp:docPr id="1016" name="img016.png" descr="Fill in the certificate particul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img016.png" descr="Fill in the certificate particulars"/>
                    <pic:cNvPicPr/>
                  </pic:nvPicPr>
                  <pic:blipFill>
                    <a:blip r:embed="rIdImg16"/>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9: Fill in the certificate particulars.</w:t>
      </w:r>
    </w:p>
    <w:p>
      <w:pPr>
        <w:pStyle w:val="Heading3"/>
        <w:keepNext/>
      </w:pPr>
      <w:r>
        <w:t xml:space="preserve">Step 10. Set the fee and raise the invoice</w:t>
      </w:r>
    </w:p>
    <w:p>
      <w:pPr>
        <w:keepNext/>
      </w:pPr>
      <w:r>
        <w:rPr>
          <w:i/>
          <w:iCs/>
        </w:rPr>
        <w:t xml:space="preserve">Case Officer · Back office</w:t>
      </w:r>
    </w:p>
    <w:p>
      <w:pPr>
        <w:keepNext/>
      </w:pPr>
      <w:r>
        <w:t xml:space="preserve">The Case Officer works out the fee from the service's imported fee schedule ("Annual Ground Rent – Floating - Calculated according to Lands (Ground Rent, Fees and Charges) Regulations SI No. 110 of 2009. Consideration Fee – Floating - Cal"). "Submit Fees and Advance" records it, raises a ZamPay invoice for the applicant and moves the case to payment.</w:t>
      </w:r>
    </w:p>
    <w:p>
      <w:pPr>
        <w:keepNext/>
        <w:spacing w:after="0"/>
        <w:jc w:val="center"/>
      </w:pPr>
      <w:r>
        <w:drawing>
          <wp:inline distT="0" distB="0" distL="0" distR="0">
            <wp:extent cx="5940000" cy="3913616"/>
            <wp:effectExtent l="0" t="0" r="0" b="0"/>
            <wp:docPr id="1017" name="img017.png" descr="Set the fee and raise the invo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img017.png" descr="Set the fee and raise the invoice"/>
                    <pic:cNvPicPr/>
                  </pic:nvPicPr>
                  <pic:blipFill>
                    <a:blip r:embed="rIdImg17"/>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10: Set the fee and raise the invoice.</w:t>
      </w:r>
    </w:p>
    <w:p>
      <w:pPr>
        <w:pStyle w:val="Heading3"/>
        <w:keepNext/>
      </w:pPr>
      <w:r>
        <w:t xml:space="preserve">Step 11. See that the fee is due</w:t>
      </w:r>
    </w:p>
    <w:p>
      <w:pPr>
        <w:keepNext/>
      </w:pPr>
      <w:r>
        <w:rPr>
          <w:i/>
          <w:iCs/>
        </w:rPr>
        <w:t xml:space="preserve">Citizen · National e-Services portal</w:t>
      </w:r>
    </w:p>
    <w:p>
      <w:pPr>
        <w:keepNext/>
      </w:pPr>
      <w:r>
        <w:t xml:space="preserve">The application shows "Waiting for your payment" in My Workplace with a Pay button (K221.60). The office priced the case; the invoice was raised on ZamPay.</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8" name="img018.png" descr="See that the fee is du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img018.png" descr="See that the fee is due - desktop"/>
                          <pic:cNvPicPr/>
                        </pic:nvPicPr>
                        <pic:blipFill>
                          <a:blip r:embed="rIdImg18"/>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9" name="img019.png" descr="See that the fee is du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img019.png" descr="See that the fee is due - 375 px phone"/>
                          <pic:cNvPicPr/>
                        </pic:nvPicPr>
                        <pic:blipFill>
                          <a:blip r:embed="rIdImg19"/>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11: See that the fee is due - desktop (left) and a 375 px phone (right).</w:t>
      </w:r>
    </w:p>
    <w:p>
      <w:pPr>
        <w:pStyle w:val="Heading3"/>
        <w:keepNext/>
      </w:pPr>
      <w:r>
        <w:t xml:space="preserve">Step 12. Pay with ZamPay</w:t>
      </w:r>
    </w:p>
    <w:p>
      <w:pPr>
        <w:keepNext/>
      </w:pPr>
      <w:r>
        <w:rPr>
          <w:i/>
          <w:iCs/>
        </w:rPr>
        <w:t xml:space="preserve">Citizen · National e-Services portal</w:t>
      </w:r>
    </w:p>
    <w:p>
      <w:pPr>
        <w:keepNext/>
      </w:pPr>
      <w:r>
        <w:t xml:space="preserve">Pay opens the invoice (K221.60, the amount set by the platform, never by the page) with its PDF preview; the citizen pays at ZamPay by mobile money or bank card.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0" name="img020.png" descr="Pay with ZamPay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img020.png" descr="Pay with ZamPay - desktop"/>
                          <pic:cNvPicPr/>
                        </pic:nvPicPr>
                        <pic:blipFill>
                          <a:blip r:embed="rIdImg20"/>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1" name="img021.png" descr="Pay with ZamPay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img021.png" descr="Pay with ZamPay - 375 px phone"/>
                          <pic:cNvPicPr/>
                        </pic:nvPicPr>
                        <pic:blipFill>
                          <a:blip r:embed="rIdImg21"/>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12: Pay with ZamPay - desktop (left) and a 375 px phone (right).</w:t>
      </w:r>
    </w:p>
    <w:p>
      <w:pPr>
        <w:pStyle w:val="Heading3"/>
        <w:keepNext/>
      </w:pPr>
      <w:r>
        <w:t xml:space="preserve">Step 13. Payment received</w:t>
      </w:r>
    </w:p>
    <w:p>
      <w:pPr>
        <w:keepNext/>
      </w:pPr>
      <w:r>
        <w:rPr>
          <w:i/>
          <w:iCs/>
        </w:rPr>
        <w:t xml:space="preserve">Citizen · National e-Services portal</w:t>
      </w:r>
    </w:p>
    <w:p>
      <w:pPr>
        <w:keepNext/>
      </w:pPr>
      <w:r>
        <w:t xml:space="preserve">ZamPay reports the payment; the dialog says "Paid. Thank you" and the application moves on to the ministry's officers.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2" name="img022.png" descr="Payment received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img022.png" descr="Payment received - desktop"/>
                          <pic:cNvPicPr/>
                        </pic:nvPicPr>
                        <pic:blipFill>
                          <a:blip r:embed="rIdImg22"/>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3" name="img023.png" descr="Payment received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img023.png" descr="Payment received - 375 px phone"/>
                          <pic:cNvPicPr/>
                        </pic:nvPicPr>
                        <pic:blipFill>
                          <a:blip r:embed="rIdImg23"/>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13: Payment received - desktop (left) and a 375 px phone (right).</w:t>
      </w:r>
    </w:p>
    <w:p>
      <w:pPr>
        <w:pStyle w:val="Heading3"/>
        <w:keepNext/>
      </w:pPr>
      <w:r>
        <w:t xml:space="preserve">Step 14. Draft Decision, Make Comments, Send for Approval</w:t>
      </w:r>
    </w:p>
    <w:p>
      <w:pPr>
        <w:keepNext/>
      </w:pPr>
      <w:r>
        <w:rPr>
          <w:i/>
          <w:iCs/>
        </w:rPr>
        <w:t xml:space="preserve">Case Officer · Back office</w:t>
      </w:r>
    </w:p>
    <w:p>
      <w:pPr>
        <w:keepNext/>
      </w:pPr>
      <w:r>
        <w:t xml:space="preserve">The Case Officer works on "Draft Decision, Make Comments, Send for Approval" (review in the imported process), checks the application and its documents, and completes the step.</w:t>
      </w:r>
    </w:p>
    <w:p>
      <w:pPr>
        <w:keepNext/>
        <w:spacing w:after="0"/>
        <w:jc w:val="center"/>
      </w:pPr>
      <w:r>
        <w:drawing>
          <wp:inline distT="0" distB="0" distL="0" distR="0">
            <wp:extent cx="5940000" cy="3913616"/>
            <wp:effectExtent l="0" t="0" r="0" b="0"/>
            <wp:docPr id="1024" name="img024.png" descr="Draft Decision, Make Comments, Send for Approv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img024.png" descr="Draft Decision, Make Comments, Send for Approval"/>
                    <pic:cNvPicPr/>
                  </pic:nvPicPr>
                  <pic:blipFill>
                    <a:blip r:embed="rIdImg24"/>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14: Draft Decision, Make Comments, Send for Approval.</w:t>
      </w:r>
    </w:p>
    <w:p>
      <w:pPr>
        <w:pStyle w:val="Heading3"/>
        <w:keepNext/>
      </w:pPr>
      <w:r>
        <w:t xml:space="preserve">Step 15. Review, Add Comments, Send for Signature</w:t>
      </w:r>
    </w:p>
    <w:p>
      <w:pPr>
        <w:keepNext/>
      </w:pPr>
      <w:r>
        <w:rPr>
          <w:i/>
          <w:iCs/>
        </w:rPr>
        <w:t xml:space="preserve">Supervisor · Back office</w:t>
      </w:r>
    </w:p>
    <w:p>
      <w:pPr>
        <w:keepNext/>
      </w:pPr>
      <w:r>
        <w:t xml:space="preserve">The Supervisor works on "Review, Add Comments, Send for Signature" (review in the imported process), checks the application and its documents, and completes the step.</w:t>
      </w:r>
    </w:p>
    <w:p>
      <w:pPr>
        <w:keepNext/>
        <w:spacing w:after="0"/>
        <w:jc w:val="center"/>
      </w:pPr>
      <w:r>
        <w:drawing>
          <wp:inline distT="0" distB="0" distL="0" distR="0">
            <wp:extent cx="5940000" cy="3913616"/>
            <wp:effectExtent l="0" t="0" r="0" b="0"/>
            <wp:docPr id="1025" name="img025.png" descr="Review, Add Comments, Send fo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img025.png" descr="Review, Add Comments, Send for Signature"/>
                    <pic:cNvPicPr/>
                  </pic:nvPicPr>
                  <pic:blipFill>
                    <a:blip r:embed="rIdImg2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15: Review, Add Comments, Send for Signature.</w:t>
      </w:r>
    </w:p>
    <w:p>
      <w:pPr>
        <w:pStyle w:val="Heading3"/>
        <w:keepNext/>
      </w:pPr>
      <w:r>
        <w:t xml:space="preserve">Step 16. Decide: Review, e-Sign the Offer Letter</w:t>
      </w:r>
    </w:p>
    <w:p>
      <w:pPr>
        <w:keepNext/>
      </w:pPr>
      <w:r>
        <w:rPr>
          <w:i/>
          <w:iCs/>
        </w:rPr>
        <w:t xml:space="preserve">Executive · Back office</w:t>
      </w:r>
    </w:p>
    <w:p>
      <w:pPr>
        <w:keepNext/>
      </w:pPr>
      <w:r>
        <w:t xml:space="preserve">At "Review, e-Sign the Offer Letter" the Executive records the decision: approve, with a comment kept in the case history. Approving moves the case on; the last decision completes it and issues the document.</w:t>
      </w:r>
    </w:p>
    <w:p>
      <w:pPr>
        <w:keepNext/>
        <w:spacing w:after="0"/>
        <w:jc w:val="center"/>
      </w:pPr>
      <w:r>
        <w:drawing>
          <wp:inline distT="0" distB="0" distL="0" distR="0">
            <wp:extent cx="5940000" cy="3913616"/>
            <wp:effectExtent l="0" t="0" r="0" b="0"/>
            <wp:docPr id="1026" name="img026.png" descr="Decide: Review, e-Sign the Offer Let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img026.png" descr="Decide: Review, e-Sign the Offer Letter"/>
                    <pic:cNvPicPr/>
                  </pic:nvPicPr>
                  <pic:blipFill>
                    <a:blip r:embed="rIdImg26"/>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16: Decide: Review, e-Sign the Offer Letter.</w:t>
      </w:r>
    </w:p>
    <w:p>
      <w:pPr>
        <w:pStyle w:val="Heading3"/>
        <w:keepNext/>
      </w:pPr>
      <w:r>
        <w:t xml:space="preserve">Step 17. Verify Payment, Prepare the Draft Lease Agreement</w:t>
      </w:r>
    </w:p>
    <w:p>
      <w:pPr>
        <w:keepNext/>
      </w:pPr>
      <w:r>
        <w:rPr>
          <w:i/>
          <w:iCs/>
        </w:rPr>
        <w:t xml:space="preserve">Case Officer · Back office</w:t>
      </w:r>
    </w:p>
    <w:p>
      <w:pPr>
        <w:keepNext/>
      </w:pPr>
      <w:r>
        <w:t xml:space="preserve">The Case Officer works on "Verify Payment, Prepare the Draft Lease Agreement" (verify-payment in the imported process), checks the application and its documents, and completes the step.</w:t>
      </w:r>
    </w:p>
    <w:p>
      <w:pPr>
        <w:keepNext/>
        <w:spacing w:after="0"/>
        <w:jc w:val="center"/>
      </w:pPr>
      <w:r>
        <w:drawing>
          <wp:inline distT="0" distB="0" distL="0" distR="0">
            <wp:extent cx="5940000" cy="3913616"/>
            <wp:effectExtent l="0" t="0" r="0" b="0"/>
            <wp:docPr id="1027" name="img027.png" descr="Verify Payment, Prepare the Draft Lease Agre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img027.png" descr="Verify Payment, Prepare the Draft Lease Agreement"/>
                    <pic:cNvPicPr/>
                  </pic:nvPicPr>
                  <pic:blipFill>
                    <a:blip r:embed="rIdImg27"/>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17: Verify Payment, Prepare the Draft Lease Agreement.</w:t>
      </w:r>
    </w:p>
    <w:p>
      <w:pPr>
        <w:pStyle w:val="Heading3"/>
        <w:keepNext/>
      </w:pPr>
      <w:r>
        <w:t xml:space="preserve">Step 18. Review, Approve the Draft Lease Agreement</w:t>
      </w:r>
    </w:p>
    <w:p>
      <w:pPr>
        <w:keepNext/>
      </w:pPr>
      <w:r>
        <w:rPr>
          <w:i/>
          <w:iCs/>
        </w:rPr>
        <w:t xml:space="preserve">Supervisor · Back office</w:t>
      </w:r>
    </w:p>
    <w:p>
      <w:pPr>
        <w:keepNext/>
      </w:pPr>
      <w:r>
        <w:t xml:space="preserve">The Supervisor works on "Review, Approve the Draft Lease Agreement" (review in the imported process), checks the application and its documents, and completes the step.</w:t>
      </w:r>
    </w:p>
    <w:p>
      <w:pPr>
        <w:keepNext/>
        <w:spacing w:after="0"/>
        <w:jc w:val="center"/>
      </w:pPr>
      <w:r>
        <w:drawing>
          <wp:inline distT="0" distB="0" distL="0" distR="0">
            <wp:extent cx="5940000" cy="3913616"/>
            <wp:effectExtent l="0" t="0" r="0" b="0"/>
            <wp:docPr id="1028" name="img028.png" descr="Review, Approve the Draft Lease Agre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img028.png" descr="Review, Approve the Draft Lease Agreement"/>
                    <pic:cNvPicPr/>
                  </pic:nvPicPr>
                  <pic:blipFill>
                    <a:blip r:embed="rIdImg28"/>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18: Review, Approve the Draft Lease Agreement.</w:t>
      </w:r>
    </w:p>
    <w:p>
      <w:pPr>
        <w:pStyle w:val="Heading3"/>
        <w:keepNext/>
      </w:pPr>
      <w:r>
        <w:t xml:space="preserve">Step 19. Decide: Review, e-Sign the Lease Agreement</w:t>
      </w:r>
    </w:p>
    <w:p>
      <w:pPr>
        <w:keepNext/>
      </w:pPr>
      <w:r>
        <w:rPr>
          <w:i/>
          <w:iCs/>
        </w:rPr>
        <w:t xml:space="preserve">Executive · Back office</w:t>
      </w:r>
    </w:p>
    <w:p>
      <w:pPr>
        <w:keepNext/>
      </w:pPr>
      <w:r>
        <w:t xml:space="preserve">At "Review, e-Sign the Lease Agreement" the Executive records the decision: approve, with a comment kept in the case history. Approving moves the case on; the last decision completes it and issues the document.</w:t>
      </w:r>
    </w:p>
    <w:p>
      <w:pPr>
        <w:keepNext/>
        <w:spacing w:after="0"/>
        <w:jc w:val="center"/>
      </w:pPr>
      <w:r>
        <w:drawing>
          <wp:inline distT="0" distB="0" distL="0" distR="0">
            <wp:extent cx="5940000" cy="3913616"/>
            <wp:effectExtent l="0" t="0" r="0" b="0"/>
            <wp:docPr id="1029" name="img029.png" descr="Decide: Review, e-Sign the Lease Agre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img029.png" descr="Decide: Review, e-Sign the Lease Agreement"/>
                    <pic:cNvPicPr/>
                  </pic:nvPicPr>
                  <pic:blipFill>
                    <a:blip r:embed="rIdImg29"/>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19: Decide: Review, e-Sign the Lease Agreement.</w:t>
      </w:r>
    </w:p>
    <w:p>
      <w:pPr>
        <w:pStyle w:val="Heading3"/>
        <w:keepNext/>
      </w:pPr>
      <w:r>
        <w:t xml:space="preserve">Step 20. Preview, Enter Memorials</w:t>
      </w:r>
    </w:p>
    <w:p>
      <w:pPr>
        <w:keepNext/>
      </w:pPr>
      <w:r>
        <w:rPr>
          <w:i/>
          <w:iCs/>
        </w:rPr>
        <w:t xml:space="preserve">Case Officer · Back office</w:t>
      </w:r>
    </w:p>
    <w:p>
      <w:pPr>
        <w:keepNext/>
      </w:pPr>
      <w:r>
        <w:t xml:space="preserve">The Case Officer works on "Preview, Enter Memorials" (review in the imported process), checks the application and its documents, and completes the step.</w:t>
      </w:r>
    </w:p>
    <w:p>
      <w:pPr>
        <w:keepNext/>
        <w:spacing w:after="0"/>
        <w:jc w:val="center"/>
      </w:pPr>
      <w:r>
        <w:drawing>
          <wp:inline distT="0" distB="0" distL="0" distR="0">
            <wp:extent cx="5940000" cy="3913616"/>
            <wp:effectExtent l="0" t="0" r="0" b="0"/>
            <wp:docPr id="1030" name="img030.png" descr="Preview, Enter Memori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 name="img030.png" descr="Preview, Enter Memorials"/>
                    <pic:cNvPicPr/>
                  </pic:nvPicPr>
                  <pic:blipFill>
                    <a:blip r:embed="rIdImg30"/>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20: Preview, Enter Memorials.</w:t>
      </w:r>
    </w:p>
    <w:p>
      <w:pPr>
        <w:pStyle w:val="Heading3"/>
        <w:keepNext/>
      </w:pPr>
      <w:r>
        <w:t xml:space="preserve">Step 21. Decide: Review, e-Sign the Certificate of Title</w:t>
      </w:r>
    </w:p>
    <w:p>
      <w:pPr>
        <w:keepNext/>
      </w:pPr>
      <w:r>
        <w:rPr>
          <w:i/>
          <w:iCs/>
        </w:rPr>
        <w:t xml:space="preserve">Executive · Back office</w:t>
      </w:r>
    </w:p>
    <w:p>
      <w:pPr>
        <w:keepNext/>
      </w:pPr>
      <w:r>
        <w:t xml:space="preserve">At "Review, e-Sign the Certificate of Title" the Executive records the decision: approve, with a comment kept in the case history. Approving moves the case on; the last decision completes it and issues the document.</w:t>
      </w:r>
    </w:p>
    <w:p>
      <w:pPr>
        <w:keepNext/>
        <w:spacing w:after="0"/>
        <w:jc w:val="center"/>
      </w:pPr>
      <w:r>
        <w:drawing>
          <wp:inline distT="0" distB="0" distL="0" distR="0">
            <wp:extent cx="5940000" cy="3913616"/>
            <wp:effectExtent l="0" t="0" r="0" b="0"/>
            <wp:docPr id="1031" name="img031.png" descr="Decide: Review, e-Sign the Certificate of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 name="img031.png" descr="Decide: Review, e-Sign the Certificate of Title"/>
                    <pic:cNvPicPr/>
                  </pic:nvPicPr>
                  <pic:blipFill>
                    <a:blip r:embed="rIdImg31"/>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21: Decide: Review, e-Sign the Certificate of Title.</w:t>
      </w:r>
    </w:p>
    <w:p>
      <w:pPr>
        <w:pStyle w:val="Heading3"/>
        <w:keepNext/>
      </w:pPr>
      <w:r>
        <w:t xml:space="preserve">Step 22. The document in My permits</w:t>
      </w:r>
    </w:p>
    <w:p>
      <w:pPr>
        <w:keepNext/>
      </w:pPr>
      <w:r>
        <w:rPr>
          <w:i/>
          <w:iCs/>
        </w:rPr>
        <w:t xml:space="preserve">Citizen · National e-Services portal</w:t>
      </w:r>
    </w:p>
    <w:p>
      <w:pPr>
        <w:keepNext/>
      </w:pPr>
      <w:r>
        <w:t xml:space="preserve">The issued document (MLNR-AR-2026-00001 in this run: "Certificate of Title") is listed in "My permits and licences" with its validity and a download of the sealed PDF.</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32" name="img032.png" descr="The document in My permi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 name="img032.png" descr="The document in My permits - desktop"/>
                          <pic:cNvPicPr/>
                        </pic:nvPicPr>
                        <pic:blipFill>
                          <a:blip r:embed="rIdImg32"/>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33" name="img033.png" descr="The document in My permi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 name="img033.png" descr="The document in My permits - 375 px phone"/>
                          <pic:cNvPicPr/>
                        </pic:nvPicPr>
                        <pic:blipFill>
                          <a:blip r:embed="rIdImg33"/>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22: The document in My permits - desktop (left) and a 375 px phone (right).</w:t>
      </w:r>
    </w:p>
    <w:p>
      <w:pPr>
        <w:pStyle w:val="Heading3"/>
        <w:keepNext/>
      </w:pPr>
      <w:r>
        <w:t xml:space="preserve">Step 23. Verify the document</w:t>
      </w:r>
    </w:p>
    <w:p>
      <w:pPr>
        <w:keepNext/>
      </w:pPr>
      <w:r>
        <w:rPr>
          <w:i/>
          <w:iCs/>
        </w:rPr>
        <w:t xml:space="preserve">Anyone (public) · Public verification page</w:t>
      </w:r>
    </w:p>
    <w:p>
      <w:pPr>
        <w:keepNext/>
      </w:pPr>
      <w:r>
        <w:t xml:space="preserve">The QR code on the document opens the public verification page: genuine and current, to whom it was issued, and whether the electronic seal is valid. No sign-in is needed.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34" name="img034.png" descr="Verify the docum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 name="img034.png" descr="Verify the document - desktop"/>
                          <pic:cNvPicPr/>
                        </pic:nvPicPr>
                        <pic:blipFill>
                          <a:blip r:embed="rIdImg34"/>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35" name="img035.png" descr="Verify the docum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5" name="img035.png" descr="Verify the document - 375 px phone"/>
                          <pic:cNvPicPr/>
                        </pic:nvPicPr>
                        <pic:blipFill>
                          <a:blip r:embed="rIdImg35"/>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23: Verify the document - desktop (left) and a 375 px phone (right).</w:t>
      </w:r>
    </w:p>
    <w:p>
      <w:pPr>
        <w:pStyle w:val="Heading1"/>
        <w:keepNext/>
      </w:pPr>
      <w:r>
        <w:t xml:space="preserve">3. Payment</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Item</w:t>
            </w:r>
          </w:p>
        </w:tc>
        <w:tc>
          <w:tcPr>
            <w:tcW w:w="6804" w:type="dxa"/>
          </w:tcPr>
          <w:p>
            <w:pPr>
              <w:pStyle w:val="TableText"/>
            </w:pPr>
            <w:r>
              <w:rPr>
                <w:b/>
                <w:bCs/>
              </w:rPr>
              <w:t xml:space="preserve">In the test run</w:t>
            </w:r>
          </w:p>
        </w:tc>
      </w:tr>
      <w:tr>
        <w:trPr>
          <w:cantSplit/>
        </w:trPr>
        <w:tc>
          <w:tcPr>
            <w:tcW w:w="2835" w:type="dxa"/>
          </w:tcPr>
          <w:p>
            <w:pPr>
              <w:pStyle w:val="TableText"/>
            </w:pPr>
            <w:r>
              <w:t xml:space="preserve">Fee (as published)</w:t>
            </w:r>
          </w:p>
        </w:tc>
        <w:tc>
          <w:tcPr>
            <w:tcW w:w="6804" w:type="dxa"/>
          </w:tcPr>
          <w:p>
            <w:pPr>
              <w:pStyle w:val="TableText"/>
            </w:pPr>
            <w:r>
              <w:t xml:space="preserve">Annual Ground Rent – Floating - Calculated according to Lands (Ground Rent, Fees and Charges) Regulations SI No. 110 of 2009. Consideration Fee – Floating - Calculated according to Lands (Ground Rent, Fees and Charges) Regulations SI No. 110 of 2009. Registration Fee - 444.80 ZMW Preparation Fee - 221.60 ZMW</w:t>
            </w:r>
          </w:p>
        </w:tc>
      </w:tr>
      <w:tr>
        <w:trPr>
          <w:cantSplit/>
        </w:trPr>
        <w:tc>
          <w:tcPr>
            <w:tcW w:w="2835" w:type="dxa"/>
          </w:tcPr>
          <w:p>
            <w:pPr>
              <w:pStyle w:val="TableText"/>
            </w:pPr>
            <w:r>
              <w:t xml:space="preserve">Invoice 1</w:t>
            </w:r>
          </w:p>
        </w:tc>
        <w:tc>
          <w:tcPr>
            <w:tcW w:w="6804" w:type="dxa"/>
          </w:tcPr>
          <w:p>
            <w:pPr>
              <w:pStyle w:val="TableText"/>
            </w:pPr>
            <w:r>
              <w:t xml:space="preserve">8551722519853548</w:t>
            </w:r>
          </w:p>
        </w:tc>
      </w:tr>
      <w:tr>
        <w:trPr>
          <w:cantSplit/>
        </w:trPr>
        <w:tc>
          <w:tcPr>
            <w:tcW w:w="2835" w:type="dxa"/>
          </w:tcPr>
          <w:p>
            <w:pPr>
              <w:pStyle w:val="TableText"/>
            </w:pPr>
            <w:r>
              <w:t xml:space="preserve">Amount 1</w:t>
            </w:r>
          </w:p>
        </w:tc>
        <w:tc>
          <w:tcPr>
            <w:tcW w:w="6804" w:type="dxa"/>
          </w:tcPr>
          <w:p>
            <w:pPr>
              <w:pStyle w:val="TableText"/>
            </w:pPr>
            <w:r>
              <w:t xml:space="preserve">ZMW 221.60</w:t>
            </w:r>
          </w:p>
        </w:tc>
      </w:tr>
      <w:tr>
        <w:trPr>
          <w:cantSplit/>
        </w:trPr>
        <w:tc>
          <w:tcPr>
            <w:tcW w:w="2835" w:type="dxa"/>
          </w:tcPr>
          <w:p>
            <w:pPr>
              <w:pStyle w:val="TableText"/>
            </w:pPr>
            <w:r>
              <w:t xml:space="preserve">Paid at 1</w:t>
            </w:r>
          </w:p>
        </w:tc>
        <w:tc>
          <w:tcPr>
            <w:tcW w:w="6804" w:type="dxa"/>
          </w:tcPr>
          <w:p>
            <w:pPr>
              <w:pStyle w:val="TableText"/>
            </w:pPr>
            <w:r>
              <w:t xml:space="preserve">after "Generate Payment"</w:t>
            </w:r>
          </w:p>
        </w:tc>
      </w:tr>
    </w:tbl>
    <w:p>
      <w:pPr>
        <w:spacing w:before="160"/>
      </w:pPr>
      <w:r>
        <w:t xml:space="preserve">On screen: step 10 (Set the fee and raise the invoice), step 11 (See that the fee is due), step 12 (Pay with ZamPay), step 13 (Payment received) in section 2.</w:t>
      </w:r>
    </w:p>
    <w:p>
      <w:pPr>
        <w:pStyle w:val="Heading1"/>
        <w:keepNext/>
      </w:pPr>
      <w:r>
        <w:t xml:space="preserve">4. Output documents</w:t>
      </w:r>
    </w:p>
    <w:p>
      <w:pPr>
        <w:pStyle w:val="Heading2"/>
        <w:keepNext/>
      </w:pPr>
      <w:r>
        <w:t xml:space="preserve">Certificate of Title (sealed PDF)</w:t>
      </w:r>
    </w:p>
    <w:p>
      <w:r>
        <w:t xml:space="preserve">Issued when the case was approved, from the service's output configuration (service template MLNR_CertificateOfTitle.Certificate.docx), filled from the application and the decision, sealed with the platform's electronic seal and stored as the issued version. The holder downloads it from My permits; the verification page checks it.</w:t>
      </w:r>
    </w:p>
    <w:p>
      <w:pPr>
        <w:keepNext/>
        <w:spacing w:after="0"/>
        <w:jc w:val="center"/>
      </w:pPr>
      <w:r>
        <w:drawing>
          <wp:inline distT="0" distB="0" distL="0" distR="0">
            <wp:extent cx="4500000" cy="5822449"/>
            <wp:effectExtent l="0" t="0" r="0" b="0"/>
            <wp:docPr id="1036" name="img036.png" descr="Certificate of Title (sealed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6" name="img036.png" descr="Certificate of Title (sealed PDF)"/>
                    <pic:cNvPicPr/>
                  </pic:nvPicPr>
                  <pic:blipFill>
                    <a:blip r:embed="rIdImg36"/>
                    <a:stretch>
                      <a:fillRect/>
                    </a:stretch>
                  </pic:blipFill>
                  <pic:spPr>
                    <a:xfrm>
                      <a:off x="0" y="0"/>
                      <a:ext cx="4500000" cy="5822449"/>
                    </a:xfrm>
                    <a:prstGeom prst="rect">
                      <a:avLst/>
                    </a:prstGeom>
                    <a:ln w="6350">
                      <a:solidFill>
                        <a:srgbClr val="BFBFBF"/>
                      </a:solidFill>
                    </a:ln>
                  </pic:spPr>
                </pic:pic>
              </a:graphicData>
            </a:graphic>
          </wp:inline>
        </w:drawing>
      </w:r>
    </w:p>
    <w:p>
      <w:pPr>
        <w:pStyle w:val="Caption"/>
      </w:pPr>
      <w:r>
        <w:t xml:space="preserve">Certificate of Title (sealed PDF) - first of 2 pages, as issued in the test run.</w:t>
      </w:r>
    </w:p>
    <w:p>
      <w:pPr>
        <w:pStyle w:val="Heading3"/>
        <w:keepNext/>
      </w:pPr>
      <w:r>
        <w:t xml:space="preserve">Fields</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Field</w:t>
            </w:r>
          </w:p>
        </w:tc>
        <w:tc>
          <w:tcPr>
            <w:tcW w:w="6804" w:type="dxa"/>
          </w:tcPr>
          <w:p>
            <w:pPr>
              <w:pStyle w:val="TableText"/>
            </w:pPr>
            <w:r>
              <w:rPr>
                <w:b/>
                <w:bCs/>
              </w:rPr>
              <w:t xml:space="preserve">Value in the test run</w:t>
            </w:r>
          </w:p>
        </w:tc>
      </w:tr>
      <w:tr>
        <w:trPr>
          <w:cantSplit/>
        </w:trPr>
        <w:tc>
          <w:tcPr>
            <w:tcW w:w="2835" w:type="dxa"/>
          </w:tcPr>
          <w:p>
            <w:pPr>
              <w:pStyle w:val="TableText"/>
            </w:pPr>
            <w:r>
              <w:t xml:space="preserve">Document title</w:t>
            </w:r>
          </w:p>
        </w:tc>
        <w:tc>
          <w:tcPr>
            <w:tcW w:w="6804" w:type="dxa"/>
          </w:tcPr>
          <w:p>
            <w:pPr>
              <w:pStyle w:val="TableText"/>
            </w:pPr>
            <w:r>
              <w:t xml:space="preserve">Certificate of Title</w:t>
            </w:r>
          </w:p>
        </w:tc>
      </w:tr>
      <w:tr>
        <w:trPr>
          <w:cantSplit/>
        </w:trPr>
        <w:tc>
          <w:tcPr>
            <w:tcW w:w="2835" w:type="dxa"/>
          </w:tcPr>
          <w:p>
            <w:pPr>
              <w:pStyle w:val="TableText"/>
            </w:pPr>
            <w:r>
              <w:t xml:space="preserve">Permit / licence number</w:t>
            </w:r>
          </w:p>
        </w:tc>
        <w:tc>
          <w:tcPr>
            <w:tcW w:w="6804" w:type="dxa"/>
          </w:tcPr>
          <w:p>
            <w:pPr>
              <w:pStyle w:val="TableText"/>
            </w:pPr>
            <w:r>
              <w:t xml:space="preserve">MLNR-AR-2026-00001</w:t>
            </w:r>
          </w:p>
        </w:tc>
      </w:tr>
      <w:tr>
        <w:trPr>
          <w:cantSplit/>
        </w:trPr>
        <w:tc>
          <w:tcPr>
            <w:tcW w:w="2835" w:type="dxa"/>
          </w:tcPr>
          <w:p>
            <w:pPr>
              <w:pStyle w:val="TableText"/>
            </w:pPr>
            <w:r>
              <w:t xml:space="preserve">Holder</w:t>
            </w:r>
          </w:p>
        </w:tc>
        <w:tc>
          <w:tcPr>
            <w:tcW w:w="6804" w:type="dxa"/>
          </w:tcPr>
          <w:p>
            <w:pPr>
              <w:pStyle w:val="TableText"/>
            </w:pPr>
            <w:r>
              <w:t xml:space="preserve">Chanda Mwila</w:t>
            </w:r>
          </w:p>
        </w:tc>
      </w:tr>
      <w:tr>
        <w:trPr>
          <w:cantSplit/>
        </w:trPr>
        <w:tc>
          <w:tcPr>
            <w:tcW w:w="2835" w:type="dxa"/>
          </w:tcPr>
          <w:p>
            <w:pPr>
              <w:pStyle w:val="TableText"/>
            </w:pPr>
            <w:r>
              <w:t xml:space="preserve">Valid from</w:t>
            </w:r>
          </w:p>
        </w:tc>
        <w:tc>
          <w:tcPr>
            <w:tcW w:w="6804" w:type="dxa"/>
          </w:tcPr>
          <w:p>
            <w:pPr>
              <w:pStyle w:val="TableText"/>
            </w:pPr>
            <w:r>
              <w:t xml:space="preserve">2026-10-21</w:t>
            </w:r>
          </w:p>
        </w:tc>
      </w:tr>
      <w:tr>
        <w:trPr>
          <w:cantSplit/>
        </w:trPr>
        <w:tc>
          <w:tcPr>
            <w:tcW w:w="2835" w:type="dxa"/>
          </w:tcPr>
          <w:p>
            <w:pPr>
              <w:pStyle w:val="TableText"/>
            </w:pPr>
            <w:r>
              <w:t xml:space="preserve">Valid until</w:t>
            </w:r>
          </w:p>
        </w:tc>
        <w:tc>
          <w:tcPr>
            <w:tcW w:w="6804" w:type="dxa"/>
          </w:tcPr>
          <w:p>
            <w:pPr>
              <w:pStyle w:val="TableText"/>
            </w:pPr>
            <w:r>
              <w:t xml:space="preserve">2125-10-21</w:t>
            </w:r>
          </w:p>
        </w:tc>
      </w:tr>
      <w:tr>
        <w:trPr>
          <w:cantSplit/>
        </w:trPr>
        <w:tc>
          <w:tcPr>
            <w:tcW w:w="2835" w:type="dxa"/>
          </w:tcPr>
          <w:p>
            <w:pPr>
              <w:pStyle w:val="TableText"/>
            </w:pPr>
            <w:r>
              <w:t xml:space="preserve">Status</w:t>
            </w:r>
          </w:p>
        </w:tc>
        <w:tc>
          <w:tcPr>
            <w:tcW w:w="6804" w:type="dxa"/>
          </w:tcPr>
          <w:p>
            <w:pPr>
              <w:pStyle w:val="TableText"/>
            </w:pPr>
            <w:r>
              <w:t xml:space="preserve">active</w:t>
            </w:r>
          </w:p>
        </w:tc>
      </w:tr>
      <w:tr>
        <w:trPr>
          <w:cantSplit/>
        </w:trPr>
        <w:tc>
          <w:tcPr>
            <w:tcW w:w="2835" w:type="dxa"/>
          </w:tcPr>
          <w:p>
            <w:pPr>
              <w:pStyle w:val="TableText"/>
            </w:pPr>
            <w:r>
              <w:t xml:space="preserve">Verification code (printed with a QR code)</w:t>
            </w:r>
          </w:p>
        </w:tc>
        <w:tc>
          <w:tcPr>
            <w:tcW w:w="6804" w:type="dxa"/>
          </w:tcPr>
          <w:p>
            <w:pPr>
              <w:pStyle w:val="TableText"/>
            </w:pPr>
            <w:r>
              <w:t xml:space="preserve">M5ZJ-BBH9-JH</w:t>
            </w:r>
          </w:p>
        </w:tc>
      </w:tr>
    </w:tbl>
    <w:p>
      <w:pPr>
        <w:pStyle w:val="Heading3"/>
        <w:keepNext/>
      </w:pPr>
      <w:r>
        <w:t xml:space="preserve">Seal</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Seal status</w:t>
            </w:r>
          </w:p>
        </w:tc>
        <w:tc>
          <w:tcPr>
            <w:tcW w:w="7088" w:type="dxa"/>
          </w:tcPr>
          <w:p>
            <w:pPr>
              <w:pStyle w:val="TableText"/>
            </w:pPr>
            <w:r>
              <w:t xml:space="preserve">sealed</w:t>
            </w:r>
          </w:p>
        </w:tc>
      </w:tr>
      <w:tr>
        <w:trPr>
          <w:cantSplit/>
        </w:trPr>
        <w:tc>
          <w:tcPr>
            <w:tcW w:w="2552" w:type="dxa"/>
          </w:tcPr>
          <w:p>
            <w:pPr>
              <w:pStyle w:val="TableText"/>
            </w:pPr>
            <w:r>
              <w:rPr>
                <w:b/>
                <w:bCs/>
              </w:rPr>
              <w:t xml:space="preserve">Signature level</w:t>
            </w:r>
          </w:p>
        </w:tc>
        <w:tc>
          <w:tcPr>
            <w:tcW w:w="7088" w:type="dxa"/>
          </w:tcPr>
          <w:p>
            <w:pPr>
              <w:pStyle w:val="TableText"/>
            </w:pPr>
            <w:r>
              <w:t xml:space="preserve">PAdES-B-T</w:t>
            </w:r>
          </w:p>
        </w:tc>
      </w:tr>
      <w:tr>
        <w:trPr>
          <w:cantSplit/>
        </w:trPr>
        <w:tc>
          <w:tcPr>
            <w:tcW w:w="2552" w:type="dxa"/>
          </w:tcPr>
          <w:p>
            <w:pPr>
              <w:pStyle w:val="TableText"/>
            </w:pPr>
            <w:r>
              <w:rPr>
                <w:b/>
                <w:bCs/>
              </w:rPr>
              <w:t xml:space="preserve">Sealed by</w:t>
            </w:r>
          </w:p>
        </w:tc>
        <w:tc>
          <w:tcPr>
            <w:tcW w:w="7088" w:type="dxa"/>
          </w:tcPr>
          <w:p>
            <w:pPr>
              <w:pStyle w:val="TableText"/>
            </w:pPr>
            <w:r>
              <w:t xml:space="preserve">the platform seal (development key in the test run)</w:t>
            </w:r>
          </w:p>
        </w:tc>
      </w:tr>
      <w:tr>
        <w:trPr>
          <w:cantSplit/>
        </w:trPr>
        <w:tc>
          <w:tcPr>
            <w:tcW w:w="2552" w:type="dxa"/>
          </w:tcPr>
          <w:p>
            <w:pPr>
              <w:pStyle w:val="TableText"/>
            </w:pPr>
            <w:r>
              <w:rPr>
                <w:b/>
                <w:bCs/>
              </w:rPr>
              <w:t xml:space="preserve">Signed at</w:t>
            </w:r>
          </w:p>
        </w:tc>
        <w:tc>
          <w:tcPr>
            <w:tcW w:w="7088" w:type="dxa"/>
          </w:tcPr>
          <w:p>
            <w:pPr>
              <w:pStyle w:val="TableText"/>
            </w:pPr>
            <w:r>
              <w:t xml:space="preserve">2026-10-21T07:27:09.177Z</w:t>
            </w:r>
          </w:p>
        </w:tc>
      </w:tr>
      <w:tr>
        <w:trPr>
          <w:cantSplit/>
        </w:trPr>
        <w:tc>
          <w:tcPr>
            <w:tcW w:w="2552" w:type="dxa"/>
          </w:tcPr>
          <w:p>
            <w:pPr>
              <w:pStyle w:val="TableText"/>
            </w:pPr>
            <w:r>
              <w:rPr>
                <w:b/>
                <w:bCs/>
              </w:rPr>
              <w:t xml:space="preserve">Trusted time-stamp</w:t>
            </w:r>
          </w:p>
        </w:tc>
        <w:tc>
          <w:tcPr>
            <w:tcW w:w="7088" w:type="dxa"/>
          </w:tcPr>
          <w:p>
            <w:pPr>
              <w:pStyle w:val="TableText"/>
            </w:pPr>
            <w:r>
              <w:t xml:space="preserve">2026-10-21T07:27:09.126Z (time-stamping authority)</w:t>
            </w:r>
          </w:p>
        </w:tc>
      </w:tr>
      <w:tr>
        <w:trPr>
          <w:cantSplit/>
        </w:trPr>
        <w:tc>
          <w:tcPr>
            <w:tcW w:w="2552" w:type="dxa"/>
          </w:tcPr>
          <w:p>
            <w:pPr>
              <w:pStyle w:val="TableText"/>
            </w:pPr>
            <w:r>
              <w:rPr>
                <w:b/>
                <w:bCs/>
              </w:rPr>
              <w:t xml:space="preserve">Document fingerprint (SHA-256)</w:t>
            </w:r>
          </w:p>
        </w:tc>
        <w:tc>
          <w:tcPr>
            <w:tcW w:w="7088" w:type="dxa"/>
          </w:tcPr>
          <w:p>
            <w:pPr>
              <w:pStyle w:val="TableText"/>
            </w:pPr>
            <w:r>
              <w:t xml:space="preserve">5b516ed162e79341...</w:t>
            </w:r>
          </w:p>
        </w:tc>
      </w:tr>
    </w:tbl>
    <w:p>
      <w:pPr>
        <w:pStyle w:val="Heading3"/>
        <w:keepNext/>
      </w:pPr>
      <w:r>
        <w:t xml:space="preserve">Verification</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Where</w:t>
            </w:r>
          </w:p>
        </w:tc>
        <w:tc>
          <w:tcPr>
            <w:tcW w:w="7088" w:type="dxa"/>
          </w:tcPr>
          <w:p>
            <w:pPr>
              <w:pStyle w:val="TableText"/>
            </w:pPr>
            <w:r>
              <w:t xml:space="preserve">The public verification page of the national portal, &lt;portal&gt;/verify/&lt;verification code&gt;, opened by scanning the QR code on the document.</w:t>
            </w:r>
          </w:p>
        </w:tc>
      </w:tr>
      <w:tr>
        <w:trPr>
          <w:cantSplit/>
        </w:trPr>
        <w:tc>
          <w:tcPr>
            <w:tcW w:w="2552" w:type="dxa"/>
          </w:tcPr>
          <w:p>
            <w:pPr>
              <w:pStyle w:val="TableText"/>
            </w:pPr>
            <w:r>
              <w:rPr>
                <w:b/>
                <w:bCs/>
              </w:rPr>
              <w:t xml:space="preserve">What it shows</w:t>
            </w:r>
          </w:p>
        </w:tc>
        <w:tc>
          <w:tcPr>
            <w:tcW w:w="7088" w:type="dxa"/>
          </w:tcPr>
          <w:p>
            <w:pPr>
              <w:pStyle w:val="TableText"/>
            </w:pPr>
            <w:r>
              <w:t xml:space="preserve">Whether the document is genuine and current, its holder and validity, and whether the electronic seal is valid and who sealed it.</w:t>
            </w:r>
          </w:p>
        </w:tc>
      </w:tr>
      <w:tr>
        <w:trPr>
          <w:cantSplit/>
        </w:trPr>
        <w:tc>
          <w:tcPr>
            <w:tcW w:w="2552" w:type="dxa"/>
          </w:tcPr>
          <w:p>
            <w:pPr>
              <w:pStyle w:val="TableText"/>
            </w:pPr>
            <w:r>
              <w:rPr>
                <w:b/>
                <w:bCs/>
              </w:rPr>
              <w:t xml:space="preserve">Checking a copy</w:t>
            </w:r>
          </w:p>
        </w:tc>
        <w:tc>
          <w:tcPr>
            <w:tcW w:w="7088" w:type="dxa"/>
          </w:tcPr>
          <w:p>
            <w:pPr>
              <w:pStyle w:val="TableText"/>
            </w:pPr>
            <w:r>
              <w:t xml:space="preserve">Anyone can upload a PDF they were given; the page says whether it is exactly the document that was issued. A changed copy is reported as not matching.</w:t>
            </w:r>
          </w:p>
        </w:tc>
      </w:tr>
    </w:tbl>
    <w:p>
      <w:pPr>
        <w:spacing w:before="160"/>
      </w:pPr>
      <w:r>
        <w:t xml:space="preserve">On screen: step 22 (The document in My permits), step 23 (Verify the document) in section 2.</w:t>
      </w:r>
    </w:p>
    <w:p>
      <w:pPr>
        <w:pStyle w:val="Heading1"/>
        <w:keepNext/>
      </w:pPr>
      <w:r>
        <w:t xml:space="preserve">5. Notifications</w:t>
      </w:r>
    </w:p>
    <w:tbl>
      <w:tblPr>
        <w:tblStyle w:val="GSBTable"/>
        <w:tblW w:w="9639" w:type="dxa"/>
        <w:tblLayout w:type="fixed"/>
        <w:tblLook w:val="04A0" w:firstRow="1" w:lastRow="0" w:firstColumn="0" w:lastColumn="0" w:noHBand="0" w:noVBand="1"/>
      </w:tblPr>
      <w:tblGrid>
        <w:gridCol w:w="1928"/>
        <w:gridCol w:w="907"/>
        <w:gridCol w:w="1474"/>
        <w:gridCol w:w="4082"/>
        <w:gridCol w:w="1247"/>
      </w:tblGrid>
      <w:tr>
        <w:trPr>
          <w:tblHeader/>
          <w:cantSplit/>
        </w:trPr>
        <w:tc>
          <w:tcPr>
            <w:tcW w:w="1928" w:type="dxa"/>
          </w:tcPr>
          <w:p>
            <w:pPr>
              <w:pStyle w:val="TableText"/>
            </w:pPr>
            <w:r>
              <w:rPr>
                <w:b/>
                <w:bCs/>
              </w:rPr>
              <w:t xml:space="preserve">When</w:t>
            </w:r>
          </w:p>
        </w:tc>
        <w:tc>
          <w:tcPr>
            <w:tcW w:w="907" w:type="dxa"/>
          </w:tcPr>
          <w:p>
            <w:pPr>
              <w:pStyle w:val="TableText"/>
            </w:pPr>
            <w:r>
              <w:rPr>
                <w:b/>
                <w:bCs/>
              </w:rPr>
              <w:t xml:space="preserve">Channel</w:t>
            </w:r>
          </w:p>
        </w:tc>
        <w:tc>
          <w:tcPr>
            <w:tcW w:w="1474" w:type="dxa"/>
          </w:tcPr>
          <w:p>
            <w:pPr>
              <w:pStyle w:val="TableText"/>
            </w:pPr>
            <w:r>
              <w:rPr>
                <w:b/>
                <w:bCs/>
              </w:rPr>
              <w:t xml:space="preserve">To</w:t>
            </w:r>
          </w:p>
        </w:tc>
        <w:tc>
          <w:tcPr>
            <w:tcW w:w="4082" w:type="dxa"/>
          </w:tcPr>
          <w:p>
            <w:pPr>
              <w:pStyle w:val="TableText"/>
            </w:pPr>
            <w:r>
              <w:rPr>
                <w:b/>
                <w:bCs/>
              </w:rPr>
              <w:t xml:space="preserve">Message</w:t>
            </w:r>
          </w:p>
        </w:tc>
        <w:tc>
          <w:tcPr>
            <w:tcW w:w="1247" w:type="dxa"/>
          </w:tcPr>
          <w:p>
            <w:pPr>
              <w:pStyle w:val="TableText"/>
            </w:pPr>
            <w:r>
              <w:rPr>
                <w:b/>
                <w:bCs/>
              </w:rPr>
              <w:t xml:space="preserve">Delivery</w:t>
            </w:r>
          </w:p>
        </w:tc>
      </w:tr>
      <w:tr>
        <w:trPr>
          <w:cantSplit/>
        </w:trPr>
        <w:tc>
          <w:tcPr>
            <w:tcW w:w="1928" w:type="dxa"/>
          </w:tcPr>
          <w:p>
            <w:pPr>
              <w:pStyle w:val="TableText"/>
            </w:pPr>
            <w:r>
              <w:t xml:space="preserve">Application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MLNR-AR/00001/10-21-26 received - Your application MLNR-AR/00001/10-21-26 for Application for Resettlements has been received by Lands Department.</w:t>
            </w:r>
          </w:p>
        </w:tc>
        <w:tc>
          <w:tcPr>
            <w:tcW w:w="1247" w:type="dxa"/>
          </w:tcPr>
          <w:p>
            <w:pPr>
              <w:pStyle w:val="TableText"/>
            </w:pPr>
            <w:r>
              <w:t xml:space="preserve">shown</w:t>
            </w:r>
          </w:p>
        </w:tc>
      </w:tr>
      <w:tr>
        <w:trPr>
          <w:cantSplit/>
        </w:trPr>
        <w:tc>
          <w:tcPr>
            <w:tcW w:w="1928" w:type="dxa"/>
          </w:tcPr>
          <w:p>
            <w:pPr>
              <w:pStyle w:val="TableText"/>
            </w:pPr>
            <w:r>
              <w:t xml:space="preserve">Status changed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Update on application MLNR-AR/00001/10-21-26 - MLNR-AR/00001/10-21-26 (Application for Resettlements) is now: With the office - fees being worked out.</w:t>
            </w:r>
          </w:p>
        </w:tc>
        <w:tc>
          <w:tcPr>
            <w:tcW w:w="1247" w:type="dxa"/>
          </w:tcPr>
          <w:p>
            <w:pPr>
              <w:pStyle w:val="TableText"/>
            </w:pPr>
            <w:r>
              <w:t xml:space="preserve">shown</w:t>
            </w:r>
          </w:p>
        </w:tc>
      </w:tr>
      <w:tr>
        <w:trPr>
          <w:cantSplit/>
        </w:trPr>
        <w:tc>
          <w:tcPr>
            <w:tcW w:w="1928" w:type="dxa"/>
          </w:tcPr>
          <w:p>
            <w:pPr>
              <w:pStyle w:val="TableText"/>
            </w:pPr>
            <w:r>
              <w:t xml:space="preserve">Payment due (invoice raised)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due for application MLNR-AR/00001/10-21-26 - The fee of ZMW 221.60 for Application for Resettlements (MLNR-AR/00001/10-21-26) is now due. Invoice 8551722519853548.</w:t>
            </w:r>
          </w:p>
        </w:tc>
        <w:tc>
          <w:tcPr>
            <w:tcW w:w="1247" w:type="dxa"/>
          </w:tcPr>
          <w:p>
            <w:pPr>
              <w:pStyle w:val="TableText"/>
            </w:pPr>
            <w:r>
              <w:t xml:space="preserve">shown</w:t>
            </w:r>
          </w:p>
        </w:tc>
      </w:tr>
      <w:tr>
        <w:trPr>
          <w:cantSplit/>
        </w:trPr>
        <w:tc>
          <w:tcPr>
            <w:tcW w:w="1928" w:type="dxa"/>
          </w:tcPr>
          <w:p>
            <w:pPr>
              <w:pStyle w:val="TableText"/>
            </w:pPr>
            <w:r>
              <w:t xml:space="preserve">Payment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received for MLNR-AR/00001/10-21-26 - Your payment of ZMW 221.60 for MLNR-AR/00001/10-21-26 (Application for Resettlements) has been received. Receipt: &lt;ZamPay&gt;/pdf?documentType=receipt&amp;invoiceNumber=8551722519853548</w:t>
            </w:r>
          </w:p>
        </w:tc>
        <w:tc>
          <w:tcPr>
            <w:tcW w:w="1247" w:type="dxa"/>
          </w:tcPr>
          <w:p>
            <w:pPr>
              <w:pStyle w:val="TableText"/>
            </w:pPr>
            <w:r>
              <w:t xml:space="preserve">shown</w:t>
            </w:r>
          </w:p>
        </w:tc>
      </w:tr>
      <w:tr>
        <w:trPr>
          <w:cantSplit/>
        </w:trPr>
        <w:tc>
          <w:tcPr>
            <w:tcW w:w="1928" w:type="dxa"/>
          </w:tcPr>
          <w:p>
            <w:pPr>
              <w:pStyle w:val="TableText"/>
            </w:pPr>
            <w:r>
              <w:t xml:space="preserve">case.approved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MLNR-AR/00001/10-21-26 approved - MLNR-AR/00001/10-21-26 (Application for Resettlements) has been approved.</w:t>
            </w:r>
          </w:p>
        </w:tc>
        <w:tc>
          <w:tcPr>
            <w:tcW w:w="1247" w:type="dxa"/>
          </w:tcPr>
          <w:p>
            <w:pPr>
              <w:pStyle w:val="TableText"/>
            </w:pPr>
            <w:r>
              <w:t xml:space="preserve">shown</w:t>
            </w:r>
          </w:p>
        </w:tc>
      </w:tr>
      <w:tr>
        <w:trPr>
          <w:cantSplit/>
        </w:trPr>
        <w:tc>
          <w:tcPr>
            <w:tcW w:w="1928" w:type="dxa"/>
          </w:tcPr>
          <w:p>
            <w:pPr>
              <w:pStyle w:val="TableText"/>
            </w:pPr>
            <w:r>
              <w:t xml:space="preserve">Licence / permit issued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Your Application for Resettlements document has been issued - MLNR-AR-2026-00001 has been issued for Application for Resettlements and is valid until 21/10/2125.</w:t>
            </w:r>
          </w:p>
        </w:tc>
        <w:tc>
          <w:tcPr>
            <w:tcW w:w="1247" w:type="dxa"/>
          </w:tcPr>
          <w:p>
            <w:pPr>
              <w:pStyle w:val="TableText"/>
            </w:pPr>
            <w:r>
              <w:t xml:space="preserve">shown</w:t>
            </w:r>
          </w:p>
        </w:tc>
      </w:tr>
      <w:tr>
        <w:trPr>
          <w:cantSplit/>
        </w:trPr>
        <w:tc>
          <w:tcPr>
            <w:tcW w:w="1928" w:type="dxa"/>
          </w:tcPr>
          <w:p>
            <w:pPr>
              <w:pStyle w:val="TableText"/>
            </w:pPr>
            <w:r>
              <w:t xml:space="preserve">Invitation to rate the service</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How was Application for Resettlements? - How was Application for Resettlements? Tell us in about a minute.</w:t>
            </w:r>
          </w:p>
        </w:tc>
        <w:tc>
          <w:tcPr>
            <w:tcW w:w="1247" w:type="dxa"/>
          </w:tcPr>
          <w:p>
            <w:pPr>
              <w:pStyle w:val="TableText"/>
            </w:pPr>
            <w:r>
              <w:t xml:space="preserve">shown</w:t>
            </w:r>
          </w:p>
        </w:tc>
      </w:tr>
      <w:tr>
        <w:trPr>
          <w:cantSplit/>
        </w:trPr>
        <w:tc>
          <w:tcPr>
            <w:tcW w:w="1928" w:type="dxa"/>
          </w:tcPr>
          <w:p>
            <w:pPr>
              <w:pStyle w:val="TableText"/>
            </w:pPr>
            <w:r>
              <w:t xml:space="preserve">Decision: 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MLNR-AR/00001/10-21-26 completed - MLNR-AR/00001/10-21-26 (Application for Resettlements) is complete. Your documents are ready.</w:t>
            </w:r>
          </w:p>
        </w:tc>
        <w:tc>
          <w:tcPr>
            <w:tcW w:w="1247" w:type="dxa"/>
          </w:tcPr>
          <w:p>
            <w:pPr>
              <w:pStyle w:val="TableText"/>
            </w:pPr>
            <w:r>
              <w:t xml:space="preserve">shown</w:t>
            </w:r>
          </w:p>
        </w:tc>
      </w:tr>
      <w:tr>
        <w:trPr>
          <w:cantSplit/>
        </w:trPr>
        <w:tc>
          <w:tcPr>
            <w:tcW w:w="1928" w:type="dxa"/>
          </w:tcPr>
          <w:p>
            <w:pPr>
              <w:pStyle w:val="TableText"/>
            </w:pPr>
            <w:r>
              <w:t xml:space="preserve">Application received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MLNR-AR/00001/10-21-26 received</w:t>
            </w:r>
          </w:p>
        </w:tc>
        <w:tc>
          <w:tcPr>
            <w:tcW w:w="1247" w:type="dxa"/>
          </w:tcPr>
          <w:p>
            <w:pPr>
              <w:pStyle w:val="TableText"/>
            </w:pPr>
            <w:r>
              <w:t xml:space="preserve">skipped</w:t>
            </w:r>
          </w:p>
        </w:tc>
      </w:tr>
      <w:tr>
        <w:trPr>
          <w:cantSplit/>
        </w:trPr>
        <w:tc>
          <w:tcPr>
            <w:tcW w:w="1928" w:type="dxa"/>
          </w:tcPr>
          <w:p>
            <w:pPr>
              <w:pStyle w:val="TableText"/>
            </w:pPr>
            <w:r>
              <w:t xml:space="preserve">Application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Application MLNR-AR/00001/10-21-26 for Application for Resettlements has been received. Track it: &lt;portal&gt;/my-workplace</w:t>
            </w:r>
          </w:p>
        </w:tc>
        <w:tc>
          <w:tcPr>
            <w:tcW w:w="1247" w:type="dxa"/>
          </w:tcPr>
          <w:p>
            <w:pPr>
              <w:pStyle w:val="TableText"/>
            </w:pPr>
            <w:r>
              <w:t xml:space="preserve">delivered</w:t>
            </w:r>
          </w:p>
        </w:tc>
      </w:tr>
      <w:tr>
        <w:trPr>
          <w:cantSplit/>
        </w:trPr>
        <w:tc>
          <w:tcPr>
            <w:tcW w:w="1928" w:type="dxa"/>
          </w:tcPr>
          <w:p>
            <w:pPr>
              <w:pStyle w:val="TableText"/>
            </w:pPr>
            <w:r>
              <w:t xml:space="preserve">Status changed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Payment due (invoice raised)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Fee of ZMW 221.60 due for MLNR-AR/00001/10-21-26. Invoice 8551722519853548. Pay: &lt;ZamPay&gt;/pay-for-service/get-invoice/8551722519853548</w:t>
            </w:r>
          </w:p>
        </w:tc>
        <w:tc>
          <w:tcPr>
            <w:tcW w:w="1247" w:type="dxa"/>
          </w:tcPr>
          <w:p>
            <w:pPr>
              <w:pStyle w:val="TableText"/>
            </w:pPr>
            <w:r>
              <w:t xml:space="preserve">delivered</w:t>
            </w:r>
          </w:p>
        </w:tc>
      </w:tr>
      <w:tr>
        <w:trPr>
          <w:cantSplit/>
        </w:trPr>
        <w:tc>
          <w:tcPr>
            <w:tcW w:w="1928" w:type="dxa"/>
          </w:tcPr>
          <w:p>
            <w:pPr>
              <w:pStyle w:val="TableText"/>
            </w:pPr>
            <w:r>
              <w:t xml:space="preserve">Payment due (invoice raised)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Payment due for application MLNR-AR/00001/10-21-26</w:t>
            </w:r>
          </w:p>
        </w:tc>
        <w:tc>
          <w:tcPr>
            <w:tcW w:w="1247" w:type="dxa"/>
          </w:tcPr>
          <w:p>
            <w:pPr>
              <w:pStyle w:val="TableText"/>
            </w:pPr>
            <w:r>
              <w:t xml:space="preserve">skipped</w:t>
            </w:r>
          </w:p>
        </w:tc>
      </w:tr>
      <w:tr>
        <w:trPr>
          <w:cantSplit/>
        </w:trPr>
        <w:tc>
          <w:tcPr>
            <w:tcW w:w="1928" w:type="dxa"/>
          </w:tcPr>
          <w:p>
            <w:pPr>
              <w:pStyle w:val="TableText"/>
            </w:pPr>
            <w:r>
              <w:t xml:space="preserve">Payment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case.approved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MLNR-AR/00001/10-21-26 approved</w:t>
            </w:r>
          </w:p>
        </w:tc>
        <w:tc>
          <w:tcPr>
            <w:tcW w:w="1247" w:type="dxa"/>
          </w:tcPr>
          <w:p>
            <w:pPr>
              <w:pStyle w:val="TableText"/>
            </w:pPr>
            <w:r>
              <w:t xml:space="preserve">skipped</w:t>
            </w:r>
          </w:p>
        </w:tc>
      </w:tr>
      <w:tr>
        <w:trPr>
          <w:cantSplit/>
        </w:trPr>
        <w:tc>
          <w:tcPr>
            <w:tcW w:w="1928" w:type="dxa"/>
          </w:tcPr>
          <w:p>
            <w:pPr>
              <w:pStyle w:val="TableText"/>
            </w:pPr>
            <w:r>
              <w:t xml:space="preserve">case.approved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Invitation to rate the service</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Your Application for Resettlements document has been issued</w:t>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How was Application for Resettlements?</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Licence / permit issued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Decision: 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MLNR-AR/00001/10-21-26 completed</w:t>
            </w:r>
          </w:p>
        </w:tc>
        <w:tc>
          <w:tcPr>
            <w:tcW w:w="1247" w:type="dxa"/>
          </w:tcPr>
          <w:p>
            <w:pPr>
              <w:pStyle w:val="TableText"/>
            </w:pPr>
            <w:r>
              <w:t xml:space="preserve">skipped</w:t>
            </w:r>
          </w:p>
        </w:tc>
      </w:tr>
    </w:tbl>
    <w:p>
      <w:pPr>
        <w:pStyle w:val="Note"/>
      </w:pPr>
      <w:r>
        <w:t xml:space="preserve">Delivery: shown = in the portal's notification bell; delivered = the SMS gateway (a test double in this run) reported the text delivered; skipped = not sent on that channel (e-mail is not configured on the test installation, and some notices go out on one channel only); sent by the national portal = a ministry node handed the notice to the national portal, which texts and e-mails the citizen under its own name and the citizen's preferences. Addresses written &lt;portal&gt;, &lt;ZamPay&gt; stand for the national portal and ZamPay.</w:t>
      </w:r>
    </w:p>
    <w:p>
      <w:pPr>
        <w:pStyle w:val="Heading1"/>
        <w:keepNext/>
      </w:pPr>
      <w:r>
        <w:t xml:space="preserve">6. Legacy mapping</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Replaces</w:t>
            </w:r>
          </w:p>
        </w:tc>
        <w:tc>
          <w:tcPr>
            <w:tcW w:w="7088" w:type="dxa"/>
          </w:tcPr>
          <w:p>
            <w:pPr>
              <w:pStyle w:val="TableText"/>
            </w:pPr>
            <w:r>
              <w:t xml:space="preserve">Application for Resettlements in the legacy ZIGS e-Services directory (ZIGS_Services)</w:t>
            </w:r>
          </w:p>
        </w:tc>
      </w:tr>
      <w:tr>
        <w:trPr>
          <w:cantSplit/>
        </w:trPr>
        <w:tc>
          <w:tcPr>
            <w:tcW w:w="2552" w:type="dxa"/>
          </w:tcPr>
          <w:p>
            <w:pPr>
              <w:pStyle w:val="TableText"/>
            </w:pPr>
            <w:r>
              <w:rPr>
                <w:b/>
                <w:bCs/>
              </w:rPr>
              <w:t xml:space="preserve">Legacy service id</w:t>
            </w:r>
          </w:p>
        </w:tc>
        <w:tc>
          <w:tcPr>
            <w:tcW w:w="7088" w:type="dxa"/>
          </w:tcPr>
          <w:p>
            <w:pPr>
              <w:pStyle w:val="TableText"/>
            </w:pPr>
            <w:r>
              <w:t xml:space="preserve">387</w:t>
            </w:r>
          </w:p>
        </w:tc>
      </w:tr>
      <w:tr>
        <w:trPr>
          <w:cantSplit/>
        </w:trPr>
        <w:tc>
          <w:tcPr>
            <w:tcW w:w="2552" w:type="dxa"/>
          </w:tcPr>
          <w:p>
            <w:pPr>
              <w:pStyle w:val="TableText"/>
            </w:pPr>
            <w:r>
              <w:rPr>
                <w:b/>
                <w:bCs/>
              </w:rPr>
              <w:t xml:space="preserve">Legacy provider</w:t>
            </w:r>
          </w:p>
        </w:tc>
        <w:tc>
          <w:tcPr>
            <w:tcW w:w="7088" w:type="dxa"/>
          </w:tcPr>
          <w:p>
            <w:pPr>
              <w:pStyle w:val="TableText"/>
            </w:pPr>
            <w:r>
              <w:t xml:space="preserve">Lands Department (MLNR) under Ministry of Lands and Natural Resources</w:t>
            </w:r>
          </w:p>
        </w:tc>
      </w:tr>
      <w:tr>
        <w:trPr>
          <w:cantSplit/>
        </w:trPr>
        <w:tc>
          <w:tcPr>
            <w:tcW w:w="2552" w:type="dxa"/>
          </w:tcPr>
          <w:p>
            <w:pPr>
              <w:pStyle w:val="TableText"/>
            </w:pPr>
            <w:r>
              <w:rPr>
                <w:b/>
                <w:bCs/>
              </w:rPr>
              <w:t xml:space="preserve">Legacy process</w:t>
            </w:r>
          </w:p>
        </w:tc>
        <w:tc>
          <w:tcPr>
            <w:tcW w:w="7088" w:type="dxa"/>
          </w:tcPr>
          <w:p>
            <w:pPr>
              <w:pStyle w:val="TableText"/>
            </w:pPr>
            <w:r>
              <w:t xml:space="preserve">LandTitling (process 105)</w:t>
            </w:r>
          </w:p>
        </w:tc>
      </w:tr>
      <w:tr>
        <w:trPr>
          <w:cantSplit/>
        </w:trPr>
        <w:tc>
          <w:tcPr>
            <w:tcW w:w="2552" w:type="dxa"/>
          </w:tcPr>
          <w:p>
            <w:pPr>
              <w:pStyle w:val="TableText"/>
            </w:pPr>
            <w:r>
              <w:rPr>
                <w:b/>
                <w:bCs/>
              </w:rPr>
              <w:t xml:space="preserve">Fee in the legacy system</w:t>
            </w:r>
          </w:p>
        </w:tc>
        <w:tc>
          <w:tcPr>
            <w:tcW w:w="7088" w:type="dxa"/>
          </w:tcPr>
          <w:p>
            <w:pPr>
              <w:pStyle w:val="TableText"/>
            </w:pPr>
            <w:r>
              <w:t xml:space="preserve">none</w:t>
            </w:r>
          </w:p>
        </w:tc>
      </w:tr>
      <w:tr>
        <w:trPr>
          <w:cantSplit/>
        </w:trPr>
        <w:tc>
          <w:tcPr>
            <w:tcW w:w="2552" w:type="dxa"/>
          </w:tcPr>
          <w:p>
            <w:pPr>
              <w:pStyle w:val="TableText"/>
            </w:pPr>
            <w:r>
              <w:rPr>
                <w:b/>
                <w:bCs/>
              </w:rPr>
              <w:t xml:space="preserve">Fee taken before submission</w:t>
            </w:r>
          </w:p>
        </w:tc>
        <w:tc>
          <w:tcPr>
            <w:tcW w:w="7088" w:type="dxa"/>
          </w:tcPr>
          <w:p>
            <w:pPr>
              <w:pStyle w:val="TableText"/>
            </w:pPr>
            <w:r>
              <w:t xml:space="preserve">yes (as in ZIGS)</w:t>
            </w:r>
          </w:p>
        </w:tc>
      </w:tr>
      <w:tr>
        <w:trPr>
          <w:cantSplit/>
        </w:trPr>
        <w:tc>
          <w:tcPr>
            <w:tcW w:w="2552" w:type="dxa"/>
          </w:tcPr>
          <w:p>
            <w:pPr>
              <w:pStyle w:val="TableText"/>
            </w:pPr>
            <w:r>
              <w:rPr>
                <w:b/>
                <w:bCs/>
              </w:rPr>
              <w:t xml:space="preserve">Time to issue (legacy)</w:t>
            </w:r>
          </w:p>
        </w:tc>
        <w:tc>
          <w:tcPr>
            <w:tcW w:w="7088" w:type="dxa"/>
          </w:tcPr>
          <w:p>
            <w:pPr>
              <w:pStyle w:val="TableText"/>
            </w:pPr>
            <w:r>
              <w:t xml:space="preserve">New: 30 working days</w:t>
            </w:r>
          </w:p>
        </w:tc>
      </w:tr>
      <w:tr>
        <w:trPr>
          <w:cantSplit/>
        </w:trPr>
        <w:tc>
          <w:tcPr>
            <w:tcW w:w="2552" w:type="dxa"/>
          </w:tcPr>
          <w:p>
            <w:pPr>
              <w:pStyle w:val="TableText"/>
            </w:pPr>
            <w:r>
              <w:rPr>
                <w:b/>
                <w:bCs/>
              </w:rPr>
              <w:t xml:space="preserve">Legacy output templates</w:t>
            </w:r>
          </w:p>
        </w:tc>
        <w:tc>
          <w:tcPr>
            <w:tcW w:w="7088" w:type="dxa"/>
          </w:tcPr>
          <w:p>
            <w:pPr>
              <w:pStyle w:val="TableText"/>
            </w:pPr>
            <w:r>
              <w:t xml:space="preserve">Notice of Action: ZIGS_Forms_Notices / GS-2.NoticeOfAction</w:t>
            </w:r>
            <w:r>
              <w:br/>
              <w:t xml:space="preserve">Application form: ZIGS_Forms_MLNR / MLNR_LandTitling.Application</w:t>
            </w:r>
            <w:r>
              <w:br/>
              <w:t xml:space="preserve">Certificate of Title: ZIGS_Forms_MLNR / MLNR_CertificateOfTitle.Certificate</w:t>
            </w:r>
          </w:p>
        </w:tc>
      </w:tr>
      <w:tr>
        <w:trPr>
          <w:cantSplit/>
        </w:trPr>
        <w:tc>
          <w:tcPr>
            <w:tcW w:w="2552" w:type="dxa"/>
          </w:tcPr>
          <w:p>
            <w:pPr>
              <w:pStyle w:val="TableText"/>
            </w:pPr>
            <w:r>
              <w:rPr>
                <w:b/>
                <w:bCs/>
              </w:rPr>
              <w:t xml:space="preserve">Legacy address</w:t>
            </w:r>
          </w:p>
        </w:tc>
        <w:tc>
          <w:tcPr>
            <w:tcW w:w="7088" w:type="dxa"/>
          </w:tcPr>
          <w:p>
            <w:pPr>
              <w:pStyle w:val="TableText"/>
            </w:pPr>
            <w:r>
              <w:t xml:space="preserve">none recorded</w:t>
            </w:r>
          </w:p>
        </w:tc>
      </w:tr>
      <w:tr>
        <w:trPr>
          <w:cantSplit/>
        </w:trPr>
        <w:tc>
          <w:tcPr>
            <w:tcW w:w="2552" w:type="dxa"/>
          </w:tcPr>
          <w:p>
            <w:pPr>
              <w:pStyle w:val="TableText"/>
            </w:pPr>
            <w:r>
              <w:rPr>
                <w:b/>
                <w:bCs/>
              </w:rPr>
              <w:t xml:space="preserve">How it was brought over</w:t>
            </w:r>
          </w:p>
        </w:tc>
        <w:tc>
          <w:tcPr>
            <w:tcW w:w="7088" w:type="dxa"/>
          </w:tcPr>
          <w:p>
            <w:pPr>
              <w:pStyle w:val="TableText"/>
            </w:pPr>
            <w:r>
              <w:t xml:space="preserve">Imported by the platform's legacy catalogue importer (zcm-backend scripts/zigs/importLegacy.js) from the ZIGS snapshot: form, case types, fees, documents, process and output templates, then served by the new platform.</w:t>
            </w:r>
          </w:p>
        </w:tc>
      </w:tr>
    </w:tbl>
    <w:p>
      <w:pPr>
        <w:pStyle w:val="Heading1"/>
        <w:keepNext/>
      </w:pPr>
      <w:r>
        <w:t xml:space="preserve">7. Version and date</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Document version</w:t>
            </w:r>
          </w:p>
        </w:tc>
        <w:tc>
          <w:tcPr>
            <w:tcW w:w="7088" w:type="dxa"/>
          </w:tcPr>
          <w:p>
            <w:pPr>
              <w:pStyle w:val="TableText"/>
            </w:pPr>
            <w:r>
              <w:t xml:space="preserve">service v1, platform a0a302b8</w:t>
            </w:r>
          </w:p>
        </w:tc>
      </w:tr>
      <w:tr>
        <w:trPr>
          <w:cantSplit/>
        </w:trPr>
        <w:tc>
          <w:tcPr>
            <w:tcW w:w="2552" w:type="dxa"/>
          </w:tcPr>
          <w:p>
            <w:pPr>
              <w:pStyle w:val="TableText"/>
            </w:pPr>
            <w:r>
              <w:rPr>
                <w:b/>
                <w:bCs/>
              </w:rPr>
              <w:t xml:space="preserve">Generated</w:t>
            </w:r>
          </w:p>
        </w:tc>
        <w:tc>
          <w:tcPr>
            <w:tcW w:w="7088" w:type="dxa"/>
          </w:tcPr>
          <w:p>
            <w:pPr>
              <w:pStyle w:val="TableText"/>
            </w:pPr>
            <w:r>
              <w:t xml:space="preserve">2026-10-21T07:27:17Z (by the end-to-end run, not edited by hand)</w:t>
            </w:r>
          </w:p>
        </w:tc>
      </w:tr>
      <w:tr>
        <w:trPr>
          <w:cantSplit/>
        </w:trPr>
        <w:tc>
          <w:tcPr>
            <w:tcW w:w="2552" w:type="dxa"/>
          </w:tcPr>
          <w:p>
            <w:pPr>
              <w:pStyle w:val="TableText"/>
            </w:pPr>
            <w:r>
              <w:rPr>
                <w:b/>
                <w:bCs/>
              </w:rPr>
              <w:t xml:space="preserve">Service version</w:t>
            </w:r>
          </w:p>
        </w:tc>
        <w:tc>
          <w:tcPr>
            <w:tcW w:w="7088" w:type="dxa"/>
          </w:tcPr>
          <w:p>
            <w:pPr>
              <w:pStyle w:val="TableText"/>
            </w:pPr>
            <w:r>
              <w:t xml:space="preserve">not versioned (configured directly)</w:t>
            </w:r>
          </w:p>
        </w:tc>
      </w:tr>
      <w:tr>
        <w:trPr>
          <w:cantSplit/>
        </w:trPr>
        <w:tc>
          <w:tcPr>
            <w:tcW w:w="2552" w:type="dxa"/>
          </w:tcPr>
          <w:p>
            <w:pPr>
              <w:pStyle w:val="TableText"/>
            </w:pPr>
            <w:r>
              <w:rPr>
                <w:b/>
                <w:bCs/>
              </w:rPr>
              <w:t xml:space="preserve">Platform snapshot</w:t>
            </w:r>
          </w:p>
        </w:tc>
        <w:tc>
          <w:tcPr>
            <w:tcW w:w="7088" w:type="dxa"/>
          </w:tcPr>
          <w:p>
            <w:pPr>
              <w:pStyle w:val="TableText"/>
            </w:pPr>
            <w:r>
              <w:t xml:space="preserve">backend a0a302b8</w:t>
            </w:r>
            <w:r>
              <w:br/>
              <w:t xml:space="preserve">portal 72805f0</w:t>
            </w:r>
            <w:r>
              <w:br/>
              <w:t xml:space="preserve">back office 58e5946</w:t>
            </w:r>
          </w:p>
        </w:tc>
      </w:tr>
      <w:tr>
        <w:trPr>
          <w:cantSplit/>
        </w:trPr>
        <w:tc>
          <w:tcPr>
            <w:tcW w:w="2552" w:type="dxa"/>
          </w:tcPr>
          <w:p>
            <w:pPr>
              <w:pStyle w:val="TableText"/>
            </w:pPr>
            <w:r>
              <w:rPr>
                <w:b/>
                <w:bCs/>
              </w:rPr>
              <w:t xml:space="preserve">Test suite</w:t>
            </w:r>
          </w:p>
        </w:tc>
        <w:tc>
          <w:tcPr>
            <w:tcW w:w="7088" w:type="dxa"/>
          </w:tcPr>
          <w:p>
            <w:pPr>
              <w:pStyle w:val="TableText"/>
            </w:pPr>
            <w:r>
              <w:t xml:space="preserve">e2e 5999d9b; one installation (combined); seed profile mihud</w:t>
            </w:r>
          </w:p>
        </w:tc>
      </w:tr>
      <w:tr>
        <w:trPr>
          <w:cantSplit/>
        </w:trPr>
        <w:tc>
          <w:tcPr>
            <w:tcW w:w="2552" w:type="dxa"/>
          </w:tcPr>
          <w:p>
            <w:pPr>
              <w:pStyle w:val="TableText"/>
            </w:pPr>
            <w:r>
              <w:rPr>
                <w:b/>
                <w:bCs/>
              </w:rPr>
              <w:t xml:space="preserve">Journeys</w:t>
            </w:r>
          </w:p>
        </w:tc>
        <w:tc>
          <w:tcPr>
            <w:tcW w:w="7088" w:type="dxa"/>
          </w:tcPr>
          <w:p>
            <w:pPr>
              <w:pStyle w:val="TableText"/>
            </w:pPr>
            <w:r>
              <w:t xml:space="preserve">30-catalogue-service.spec.js: citizen finds the service, answers its form, uploads its documents and sends the application - passed</w:t>
            </w:r>
            <w:r>
              <w:br/>
              <w:t xml:space="preserve">30-catalogue-service.spec.js: the case goes through every step of its process: payments by the citizen, each officer step by its role - passed</w:t>
            </w:r>
            <w:r>
              <w:br/>
              <w:t xml:space="preserve">30-catalogue-service.spec.js: the grant document is issued, sealed, filled in and verifiable; the citizen has it in My permits - passed</w:t>
            </w:r>
          </w:p>
        </w:tc>
      </w:tr>
      <w:tr>
        <w:trPr>
          <w:cantSplit/>
        </w:trPr>
        <w:tc>
          <w:tcPr>
            <w:tcW w:w="2552" w:type="dxa"/>
          </w:tcPr>
          <w:p>
            <w:pPr>
              <w:pStyle w:val="TableText"/>
            </w:pPr>
            <w:r>
              <w:rPr>
                <w:b/>
                <w:bCs/>
              </w:rPr>
              <w:t xml:space="preserve">Result</w:t>
            </w:r>
          </w:p>
        </w:tc>
        <w:tc>
          <w:tcPr>
            <w:tcW w:w="7088" w:type="dxa"/>
          </w:tcPr>
          <w:p>
            <w:pPr>
              <w:pStyle w:val="TableText"/>
            </w:pPr>
            <w:r>
              <w:t xml:space="preserve">3 of 3 journey tests passed</w:t>
            </w:r>
          </w:p>
        </w:tc>
      </w:tr>
      <w:tr>
        <w:trPr>
          <w:cantSplit/>
        </w:trPr>
        <w:tc>
          <w:tcPr>
            <w:tcW w:w="2552" w:type="dxa"/>
          </w:tcPr>
          <w:p>
            <w:pPr>
              <w:pStyle w:val="TableText"/>
            </w:pPr>
            <w:r>
              <w:rPr>
                <w:b/>
                <w:bCs/>
              </w:rPr>
              <w:t xml:space="preserve">Data</w:t>
            </w:r>
          </w:p>
        </w:tc>
        <w:tc>
          <w:tcPr>
            <w:tcW w:w="7088" w:type="dxa"/>
          </w:tcPr>
          <w:p>
            <w:pPr>
              <w:pStyle w:val="TableText"/>
            </w:pPr>
            <w:r>
              <w:t xml:space="preserve">Synthetic test data on a local test installation; provider test doubles for ZamPass, ZamPay, SMS and signing.</w:t>
            </w:r>
          </w:p>
        </w:tc>
      </w:tr>
    </w:tbl>
    <w:sectPr>
      <w:headerReference w:type="default" r:id="rId4"/>
      <w:footerReference w:type="default" r:id="rId5"/>
      <w:pgSz w:w="11906" w:h="16838"/>
      <w:pgMar w:top="1134" w:right="1134" w:bottom="1134" w:left="1134" w:header="567" w:footer="567" w:gutter="0"/>
      <w:cols w:space="708"/>
      <w:titlePg/>
    </w:sectPr>
  </w:body>
</w:document>
</file>

<file path=word/footer1.xml><?xml version="1.0" encoding="utf-8"?>
<w:ftr xmlns:w="http://schemas.openxmlformats.org/wordprocessingml/2006/main" xmlns:r="http://schemas.openxmlformats.org/officeDocument/2006/relationships">
  <w:p>
    <w:pPr>
      <w:pStyle w:val="Footer"/>
    </w:pPr>
    <w:r>
      <w:t xml:space="preserve">Lands Department  ·  version service v1, platform a0a302b8  ·  2026-10-21</w:t>
    </w:r>
  </w:p>
  <w:p>
    <w:pPr>
      <w:pStyle w:val="Footer"/>
      <w:jc w:val="right"/>
    </w:pP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w:p>
    <w:pPr>
      <w:pStyle w:val="Header"/>
      <w:pBdr>
        <w:bottom w:val="single" w:sz="6" w:space="4" w:color="198A00"/>
      </w:pBdr>
    </w:pPr>
    <w:r>
      <w:t xml:space="preserve">GSB e-Services  ·  Service documentation  ·  Application for Resettlements</w:t>
    </w:r>
  </w:p>
</w:hdr>
</file>

<file path=word/numbering.xml><?xml version="1.0" encoding="utf-8"?>
<w:numbering xmlns:w="http://schemas.openxmlformats.org/wordprocessingml/2006/main">
  <w:abstractNum w:abstractNumId="0">
    <w:multiLevelType w:val="singleLevel"/>
    <w:lvl w:ilvl="0">
      <w:start w:val="1"/>
      <w:numFmt w:val="bullet"/>
      <w:lvlText w:val="•"/>
      <w:lvlJc w:val="left"/>
      <w:pPr>
        <w:ind w:left="567" w:hanging="283"/>
      </w:pPr>
      <w:rPr>
        <w:rFonts w:ascii="Arial" w:hAnsi="Arial"/>
        <w:color w:val="198A00"/>
      </w:rPr>
    </w:lvl>
  </w:abstractNum>
  <w:num w:numId="1">
    <w:abstractNumId w:val="0"/>
  </w:num>
</w:numbering>
</file>

<file path=word/settings.xml><?xml version="1.0" encoding="utf-8"?>
<w:settings xmlns:w="http://schemas.openxmlformats.org/wordprocessingml/2006/main">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sz w:val="20"/>
        <w:szCs w:val="20"/>
        <w:lang w:val="en-GB"/>
      </w:rPr>
    </w:rPrDefault>
    <w:pPrDefault>
      <w:pPr>
        <w:spacing w:after="120" w:line="264" w:lineRule="auto"/>
      </w:pPr>
    </w:pPrDefault>
  </w:docDefaults>
  <w:style w:type="paragraph" w:styleId="Normal" w:default="1">
    <w:name w:val="Normal"/>
    <w:qFormat/>
    <w:rPr>
      <w:color w:val="1F2933"/>
    </w:rPr>
  </w:style>
  <w:style w:type="paragraph" w:styleId="Title">
    <w:name w:val="Title"/>
    <w:basedOn w:val="Normal"/>
    <w:next w:val="Normal"/>
    <w:qFormat/>
    <w:pPr>
      <w:spacing w:before="240" w:after="120"/>
    </w:pPr>
    <w:rPr>
      <w:b/>
      <w:color w:val="1F2933"/>
      <w:sz w:val="56"/>
      <w:szCs w:val="56"/>
    </w:rPr>
  </w:style>
  <w:style w:type="paragraph" w:styleId="Subtitle">
    <w:name w:val="Subtitle"/>
    <w:basedOn w:val="Normal"/>
    <w:next w:val="Normal"/>
    <w:qFormat/>
    <w:pPr>
      <w:spacing w:after="480"/>
    </w:pPr>
    <w:rPr>
      <w:color w:val="198A00"/>
      <w:sz w:val="32"/>
      <w:szCs w:val="32"/>
    </w:rPr>
  </w:style>
  <w:style w:type="paragraph" w:styleId="CoverKicker">
    <w:name w:val="Cover kicker"/>
    <w:basedOn w:val="Normal"/>
    <w:qFormat/>
    <w:pPr>
      <w:spacing w:after="40"/>
    </w:pPr>
    <w:rPr>
      <w:b/>
      <w:caps/>
      <w:color w:val="198A00"/>
      <w:spacing w:val="20"/>
      <w:sz w:val="22"/>
      <w:szCs w:val="22"/>
    </w:rPr>
  </w:style>
  <w:style w:type="paragraph" w:styleId="CoverMeta">
    <w:name w:val="Cover details"/>
    <w:basedOn w:val="Normal"/>
    <w:qFormat/>
    <w:pPr>
      <w:spacing w:after="60"/>
    </w:pPr>
    <w:rPr>
      <w:color w:val="1F2933"/>
      <w:sz w:val="22"/>
      <w:szCs w:val="22"/>
    </w:rPr>
  </w:style>
  <w:style w:type="paragraph" w:styleId="Heading1">
    <w:name w:val="heading 1"/>
    <w:basedOn w:val="Normal"/>
    <w:next w:val="Normal"/>
    <w:qFormat/>
    <w:pPr>
      <w:keepNext/>
      <w:keepLines/>
      <w:pBdr>
        <w:bottom w:val="single" w:sz="12" w:space="4" w:color="EF7D00"/>
      </w:pBdr>
      <w:spacing w:before="480" w:after="240"/>
      <w:outlineLvl w:val="0"/>
    </w:pPr>
    <w:rPr>
      <w:b/>
      <w:color w:val="198A00"/>
      <w:sz w:val="36"/>
      <w:szCs w:val="36"/>
    </w:rPr>
  </w:style>
  <w:style w:type="paragraph" w:styleId="Heading2">
    <w:name w:val="heading 2"/>
    <w:basedOn w:val="Normal"/>
    <w:next w:val="Normal"/>
    <w:qFormat/>
    <w:pPr>
      <w:keepNext/>
      <w:keepLines/>
      <w:spacing w:before="360" w:after="120"/>
      <w:outlineLvl w:val="1"/>
    </w:pPr>
    <w:rPr>
      <w:b/>
      <w:color w:val="0F5200"/>
      <w:sz w:val="26"/>
      <w:szCs w:val="26"/>
    </w:rPr>
  </w:style>
  <w:style w:type="paragraph" w:styleId="Heading3">
    <w:name w:val="heading 3"/>
    <w:basedOn w:val="Normal"/>
    <w:next w:val="Normal"/>
    <w:qFormat/>
    <w:pPr>
      <w:keepNext/>
      <w:keepLines/>
      <w:spacing w:before="240" w:after="80"/>
      <w:outlineLvl w:val="2"/>
    </w:pPr>
    <w:rPr>
      <w:b/>
      <w:color w:val="1F2933"/>
      <w:sz w:val="22"/>
      <w:szCs w:val="22"/>
    </w:rPr>
  </w:style>
  <w:style w:type="paragraph" w:styleId="Caption">
    <w:name w:val="caption"/>
    <w:basedOn w:val="Normal"/>
    <w:next w:val="Normal"/>
    <w:qFormat/>
    <w:pPr>
      <w:spacing w:before="40" w:after="200"/>
    </w:pPr>
    <w:rPr>
      <w:i/>
      <w:color w:val="5F6B76"/>
      <w:sz w:val="17"/>
      <w:szCs w:val="17"/>
    </w:rPr>
  </w:style>
  <w:style w:type="paragraph" w:styleId="Note">
    <w:name w:val="Note"/>
    <w:basedOn w:val="Normal"/>
    <w:qFormat/>
    <w:pPr>
      <w:pBdr>
        <w:left w:val="single" w:sz="18" w:space="8" w:color="EF7D00"/>
      </w:pBdr>
      <w:shd w:val="clear" w:color="auto" w:fill="EAF4E5"/>
      <w:spacing w:before="120" w:after="160"/>
      <w:ind w:left="170"/>
    </w:pPr>
    <w:rPr>
      <w:color w:val="1F2933"/>
      <w:sz w:val="18"/>
      <w:szCs w:val="18"/>
    </w:rPr>
  </w:style>
  <w:style w:type="paragraph" w:styleId="ListBullet">
    <w:name w:val="List Bullet"/>
    <w:basedOn w:val="Normal"/>
    <w:qFormat/>
    <w:pPr>
      <w:numPr>
        <w:numId w:val="1"/>
      </w:numPr>
      <w:spacing w:after="60"/>
    </w:pPr>
  </w:style>
  <w:style w:type="paragraph" w:styleId="TableText">
    <w:name w:val="Table text"/>
    <w:basedOn w:val="Normal"/>
    <w:qFormat/>
    <w:pPr>
      <w:spacing w:before="20" w:after="20" w:line="240" w:lineRule="auto"/>
    </w:pPr>
    <w:rPr>
      <w:sz w:val="18"/>
      <w:szCs w:val="18"/>
    </w:rPr>
  </w:style>
  <w:style w:type="paragraph" w:styleId="Header">
    <w:name w:val="header"/>
    <w:basedOn w:val="Normal"/>
    <w:qFormat/>
    <w:pPr>
      <w:tabs>
        <w:tab w:val="right" w:pos="9638"/>
      </w:tabs>
      <w:spacing w:after="0"/>
    </w:pPr>
    <w:rPr>
      <w:color w:val="5F6B76"/>
      <w:sz w:val="16"/>
      <w:szCs w:val="16"/>
    </w:rPr>
  </w:style>
  <w:style w:type="paragraph" w:styleId="Footer">
    <w:name w:val="footer"/>
    <w:basedOn w:val="Normal"/>
    <w:qFormat/>
    <w:pPr>
      <w:tabs>
        <w:tab w:val="right" w:pos="9638"/>
      </w:tabs>
      <w:spacing w:after="0"/>
    </w:pPr>
    <w:rPr>
      <w:color w:val="5F6B76"/>
      <w:sz w:val="16"/>
      <w:szCs w:val="16"/>
    </w:rPr>
  </w:style>
  <w:style w:type="table" w:styleId="GSBTable">
    <w:name w:val="GSB table"/>
    <w:basedOn w:val="TableNormal"/>
    <w:qFormat/>
    <w:pPr>
      <w:spacing w:after="0"/>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0" w:type="dxa"/>
        <w:left w:w="100" w:type="dxa"/>
        <w:bottom w:w="40" w:type="dxa"/>
        <w:right w:w="100" w:type="dxa"/>
      </w:tblCellMar>
    </w:tblPr>
    <w:tblStylePr w:type="firstRow">
      <w:rPr>
        <w:b/>
        <w:color w:val="FFFFFF"/>
      </w:rPr>
      <w:tcPr>
        <w:shd w:val="clear" w:color="auto" w:fill="198A00"/>
      </w:tcPr>
    </w:tblStyle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numbering" Target="numbering.xml"/><Relationship Id="rId4" Type="http://schemas.openxmlformats.org/officeDocument/2006/relationships/header" Target="header1.xml"/><Relationship Id="rId5" Type="http://schemas.openxmlformats.org/officeDocument/2006/relationships/footer" Target="footer1.xml"/><Relationship Id="rIdImg1" Type="http://schemas.openxmlformats.org/officeDocument/2006/relationships/image" Target="media/img001.png"/><Relationship Id="rIdImg2" Type="http://schemas.openxmlformats.org/officeDocument/2006/relationships/image" Target="media/img002.png"/><Relationship Id="rIdImg3" Type="http://schemas.openxmlformats.org/officeDocument/2006/relationships/image" Target="media/img003.png"/><Relationship Id="rIdImg4" Type="http://schemas.openxmlformats.org/officeDocument/2006/relationships/image" Target="media/img004.png"/><Relationship Id="rIdImg5" Type="http://schemas.openxmlformats.org/officeDocument/2006/relationships/image" Target="media/img005.png"/><Relationship Id="rIdImg6" Type="http://schemas.openxmlformats.org/officeDocument/2006/relationships/image" Target="media/img006.png"/><Relationship Id="rIdImg7" Type="http://schemas.openxmlformats.org/officeDocument/2006/relationships/image" Target="media/img007.png"/><Relationship Id="rIdImg8" Type="http://schemas.openxmlformats.org/officeDocument/2006/relationships/image" Target="media/img008.png"/><Relationship Id="rIdImg9" Type="http://schemas.openxmlformats.org/officeDocument/2006/relationships/image" Target="media/img009.png"/><Relationship Id="rIdImg10" Type="http://schemas.openxmlformats.org/officeDocument/2006/relationships/image" Target="media/img010.png"/><Relationship Id="rIdImg11" Type="http://schemas.openxmlformats.org/officeDocument/2006/relationships/image" Target="media/img011.png"/><Relationship Id="rIdImg12" Type="http://schemas.openxmlformats.org/officeDocument/2006/relationships/image" Target="media/img012.png"/><Relationship Id="rIdImg13" Type="http://schemas.openxmlformats.org/officeDocument/2006/relationships/image" Target="media/img013.png"/><Relationship Id="rIdImg14" Type="http://schemas.openxmlformats.org/officeDocument/2006/relationships/image" Target="media/img014.png"/><Relationship Id="rIdImg15" Type="http://schemas.openxmlformats.org/officeDocument/2006/relationships/image" Target="media/img015.png"/><Relationship Id="rIdImg16" Type="http://schemas.openxmlformats.org/officeDocument/2006/relationships/image" Target="media/img016.png"/><Relationship Id="rIdImg17" Type="http://schemas.openxmlformats.org/officeDocument/2006/relationships/image" Target="media/img017.png"/><Relationship Id="rIdImg18" Type="http://schemas.openxmlformats.org/officeDocument/2006/relationships/image" Target="media/img018.png"/><Relationship Id="rIdImg19" Type="http://schemas.openxmlformats.org/officeDocument/2006/relationships/image" Target="media/img019.png"/><Relationship Id="rIdImg20" Type="http://schemas.openxmlformats.org/officeDocument/2006/relationships/image" Target="media/img020.png"/><Relationship Id="rIdImg21" Type="http://schemas.openxmlformats.org/officeDocument/2006/relationships/image" Target="media/img021.png"/><Relationship Id="rIdImg22" Type="http://schemas.openxmlformats.org/officeDocument/2006/relationships/image" Target="media/img022.png"/><Relationship Id="rIdImg23" Type="http://schemas.openxmlformats.org/officeDocument/2006/relationships/image" Target="media/img023.png"/><Relationship Id="rIdImg24" Type="http://schemas.openxmlformats.org/officeDocument/2006/relationships/image" Target="media/img024.png"/><Relationship Id="rIdImg25" Type="http://schemas.openxmlformats.org/officeDocument/2006/relationships/image" Target="media/img025.png"/><Relationship Id="rIdImg26" Type="http://schemas.openxmlformats.org/officeDocument/2006/relationships/image" Target="media/img026.png"/><Relationship Id="rIdImg27" Type="http://schemas.openxmlformats.org/officeDocument/2006/relationships/image" Target="media/img027.png"/><Relationship Id="rIdImg28" Type="http://schemas.openxmlformats.org/officeDocument/2006/relationships/image" Target="media/img028.png"/><Relationship Id="rIdImg29" Type="http://schemas.openxmlformats.org/officeDocument/2006/relationships/image" Target="media/img029.png"/><Relationship Id="rIdImg30" Type="http://schemas.openxmlformats.org/officeDocument/2006/relationships/image" Target="media/img030.png"/><Relationship Id="rIdImg31" Type="http://schemas.openxmlformats.org/officeDocument/2006/relationships/image" Target="media/img031.png"/><Relationship Id="rIdImg32" Type="http://schemas.openxmlformats.org/officeDocument/2006/relationships/image" Target="media/img032.png"/><Relationship Id="rIdImg33" Type="http://schemas.openxmlformats.org/officeDocument/2006/relationships/image" Target="media/img033.png"/><Relationship Id="rIdImg34" Type="http://schemas.openxmlformats.org/officeDocument/2006/relationships/image" Target="media/img034.png"/><Relationship Id="rIdImg35" Type="http://schemas.openxmlformats.org/officeDocument/2006/relationships/image" Target="media/img035.png"/><Relationship Id="rIdImg36" Type="http://schemas.openxmlformats.org/officeDocument/2006/relationships/image" Target="media/img036.png"/></Relationships>
</file>

<file path=docProps/app.xml><?xml version="1.0" encoding="utf-8"?>
<Properties xmlns="http://schemas.openxmlformats.org/officeDocument/2006/extended-properties" xmlns:vt="http://schemas.openxmlformats.org/officeDocument/2006/docPropsVTypes">
  <Application>GSB e-Services service documentation</Application>
  <Company>Government of the Republic of Zambia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 Resettlements - service documentation</dc:title>
  <dc:subject>Lands Department</dc:subject>
  <dc:creator>GSB e-Services end-to-end suite</dc:creator>
  <cp:keywords>MLNR/application-for-resettlements</cp:keywords>
  <cp:revision>1</cp:revision>
  <dcterms:created xsi:type="dcterms:W3CDTF">2026-10-21T07:27:17Z</dcterms:created>
  <dcterms:modified xsi:type="dcterms:W3CDTF">2026-10-21T07:27:17Z</dcterms:modified>
</cp:coreProperties>
</file>