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Kicker"/>
        <w:spacing w:before="1800"/>
      </w:pPr>
      <w:r>
        <w:t xml:space="preserve">Republic of Zambia</w:t>
      </w:r>
    </w:p>
    <w:p>
      <w:pPr>
        <w:pStyle w:val="CoverKicker"/>
        <w:pBdr>
          <w:bottom w:val="single" w:sz="18" w:space="4" w:color="EF7D00"/>
        </w:pBdr>
        <w:spacing w:after="600"/>
      </w:pPr>
      <w:r>
        <w:t xml:space="preserve">GSB e-Services</w:t>
      </w:r>
    </w:p>
    <w:p>
      <w:pPr>
        <w:pStyle w:val="Title"/>
      </w:pPr>
      <w:r>
        <w:t xml:space="preserve">Annual Return</w:t>
      </w:r>
    </w:p>
    <w:p>
      <w:pPr>
        <w:pStyle w:val="Subtitle"/>
      </w:pPr>
      <w:r>
        <w:t xml:space="preserve">Service documentation</w:t>
      </w:r>
    </w:p>
    <w:p>
      <w:pPr>
        <w:pStyle w:val="CoverMeta"/>
      </w:pPr>
      <w:r>
        <w:t xml:space="preserve">Owner: Department of Registration and Regulation</w:t>
      </w:r>
    </w:p>
    <w:p>
      <w:pPr>
        <w:pStyle w:val="CoverMeta"/>
      </w:pPr>
      <w:r>
        <w:t xml:space="preserve">Service key: DOC/annual-return</w:t>
      </w:r>
    </w:p>
    <w:p>
      <w:pPr>
        <w:pStyle w:val="CoverMeta"/>
      </w:pPr>
      <w:r>
        <w:t xml:space="preserve">Version: service v1, platform 12841b43</w:t>
      </w:r>
    </w:p>
    <w:p>
      <w:pPr>
        <w:pStyle w:val="CoverMeta"/>
      </w:pPr>
      <w:r>
        <w:t xml:space="preserve">Date: 2026-10-22</w:t>
      </w:r>
    </w:p>
    <w:p>
      <w:pPr>
        <w:pStyle w:val="Note"/>
        <w:spacing w:before="1200"/>
      </w:pPr>
      <w:r>
        <w:t xml:space="preserve">Generated automatically by the service's end-to-end test run. Every screenshot shows synthetic test data on a local test installation, never real personal data.</w:t>
      </w:r>
    </w:p>
    <w:p>
      <w:pPr>
        <w:pStyle w:val="Heading2"/>
        <w:pageBreakBefore/>
      </w:pPr>
      <w:r>
        <w:t xml:space="preserve">Contents</w:t>
      </w:r>
    </w:p>
    <w:p>
      <w:pPr>
        <w:pStyle w:val="ListBullet"/>
      </w:pPr>
      <w:r>
        <w:t xml:space="preserve">1. Service summary</w:t>
      </w:r>
    </w:p>
    <w:p>
      <w:pPr>
        <w:pStyle w:val="ListBullet"/>
      </w:pPr>
      <w:r>
        <w:t xml:space="preserve">2. Application process, step by step</w:t>
      </w:r>
    </w:p>
    <w:p>
      <w:pPr>
        <w:pStyle w:val="ListBullet"/>
      </w:pPr>
      <w:r>
        <w:t xml:space="preserve">3. Payment</w:t>
      </w:r>
    </w:p>
    <w:p>
      <w:pPr>
        <w:pStyle w:val="ListBullet"/>
      </w:pPr>
      <w:r>
        <w:t xml:space="preserve">4. Output documents</w:t>
      </w:r>
    </w:p>
    <w:p>
      <w:pPr>
        <w:pStyle w:val="ListBullet"/>
      </w:pPr>
      <w:r>
        <w:t xml:space="preserve">5. Notifications</w:t>
      </w:r>
    </w:p>
    <w:p>
      <w:pPr>
        <w:pStyle w:val="ListBullet"/>
      </w:pPr>
      <w:r>
        <w:t xml:space="preserve">6. Legacy mapping</w:t>
      </w:r>
    </w:p>
    <w:p>
      <w:pPr>
        <w:pStyle w:val="ListBullet"/>
      </w:pPr>
      <w:r>
        <w:t xml:space="preserve">7. Version and date</w:t>
      </w:r>
    </w:p>
    <w:p>
      <w:pPr>
        <w:pStyle w:val="Note"/>
      </w:pPr>
      <w:r>
        <w:t xml:space="preserve">This document describes the Annual Return service of Department of Registration and Regulation as the platform runs it today. It is generated by the service's end-to-end test: every step was performed by the test and every screenshot was taken during that run, with synthetic data. Regenerate it with "npm run docs:services" in the e2e suite; do not edit it by hand.</w:t>
      </w:r>
    </w:p>
    <w:p>
      <w:pPr>
        <w:pStyle w:val="Heading1"/>
        <w:keepNext/>
      </w:pPr>
      <w:r>
        <w:t xml:space="preserve">1. Service summary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Service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Annual Return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Owner (MDA)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Department of Registration and Regulation (DOC)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Purpose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A Co-operative Society shall furnish the Registrar with annual returns under the Co-operative Societies Act. Annual returns are due on the registration date of the Co-operative.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Who can apply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Organization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How to apply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Online on the national e-Services portal, signed in with ZamPass; pay with ZamPay.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Annual return for a primary co-operative: ZMW 133.33</w:t>
            </w:r>
            <w:r>
              <w:br/>
              <w:t xml:space="preserve">Annual return for a co-operative union: ZMW 200.00</w:t>
            </w:r>
            <w:r>
              <w:br/>
              <w:t xml:space="preserve">Annual return for a federation: ZMW 266.67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Turnaround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30 days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Validity of the output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365 days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Required documents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Minutes of the last Annual General Meeting (required)</w:t>
            </w:r>
            <w:r>
              <w:br/>
              <w:t xml:space="preserve">Audited Accounts for the Last Financial Year (required)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Output documents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Notice Of Action</w:t>
            </w:r>
            <w:r>
              <w:br/>
              <w:t xml:space="preserve">Application form</w:t>
            </w:r>
            <w:r>
              <w:br/>
              <w:t xml:space="preserve">GF-1 Treasury Invoice</w:t>
            </w:r>
            <w:r>
              <w:br/>
              <w:t xml:space="preserve">GF-2 Treasury Receipt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Legal basis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Co-operative Societies Act, No. 20 of 1998 (https://www.ilo.org/dyn/natlex/docs/ELECTRONIC/53147/111628/F824149747/ZMB53147.pdf)</w:t>
            </w:r>
            <w:r>
              <w:br/>
              <w:t xml:space="preserve">Co-operative Societies Regulations, SI No. 26 of 1999 (http://extwprlegs1.fao.org/docs/pdf/zam16012.pdf)</w:t>
            </w:r>
          </w:p>
        </w:tc>
      </w:tr>
    </w:tbl>
    <w:p>
      <w:pPr>
        <w:pStyle w:val="Heading1"/>
        <w:keepNext/>
      </w:pPr>
      <w:r>
        <w:t xml:space="preserve">2. Application process, step by step</w:t>
      </w:r>
    </w:p>
    <w:p>
      <w:pPr>
        <w:pStyle w:val="Heading2"/>
        <w:keepNext/>
      </w:pPr>
      <w:r>
        <w:t xml:space="preserve">The process as configured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794"/>
        <w:gridCol w:w="2268"/>
        <w:gridCol w:w="4026"/>
        <w:gridCol w:w="2552"/>
      </w:tblGrid>
      <w:tr>
        <w:trPr>
          <w:tblHeader/>
          <w:cantSplit/>
        </w:trPr>
        <w:tc>
          <w:tcPr>
            <w:tcW w:w="79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Step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Role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Task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Type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Applicant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Apply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form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Generate Payment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generate-payment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Applicant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Payment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payment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Generate Document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generate-document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Review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review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Supervisor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Review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review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Executive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Decision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decision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Generate Document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generate-document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9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Notify Client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notify</w:t>
            </w:r>
          </w:p>
        </w:tc>
      </w:tr>
    </w:tbl>
    <w:p>
      <w:pPr>
        <w:pStyle w:val="Heading2"/>
        <w:keepNext/>
      </w:pPr>
      <w:r>
        <w:t xml:space="preserve">Step by step</w:t>
      </w:r>
    </w:p>
    <w:p>
      <w:r>
        <w:t xml:space="preserve">Who takes part in this journey: Citizen, Case Officer, Supervisor, Executive. Citizen steps are shown on a desktop and on a 375 px phone; back-office steps on a desktop.</w:t>
      </w:r>
    </w:p>
    <w:p>
      <w:pPr>
        <w:pStyle w:val="Heading3"/>
        <w:keepNext/>
      </w:pPr>
      <w:r>
        <w:t xml:space="preserve">Step 1. Find the service and read its page</w:t>
      </w:r>
    </w:p>
    <w:p>
      <w:pPr>
        <w:keepNext/>
      </w:pPr>
      <w:r>
        <w:rPr>
          <w:i/>
          <w:iCs/>
        </w:rPr>
        <w:t xml:space="preserve">Citizen · National e-Services portal</w:t>
      </w:r>
    </w:p>
    <w:p>
      <w:pPr>
        <w:keepNext/>
      </w:pPr>
      <w:r>
        <w:t xml:space="preserve">The society's account opens "Annual Return": a return is due every year on the anniversary of the registration; the fee depends on the kind of society.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0" w:lastRow="0" w:firstColumn="0" w:lastColumn="0" w:noHBand="0" w:noVBand="1"/>
      </w:tblPr>
      <w:tblGrid>
        <w:gridCol w:w="6861"/>
        <w:gridCol w:w="2778"/>
      </w:tblGrid>
      <w:tr>
        <w:trPr>
          <w:cantSplit/>
        </w:trPr>
        <w:tc>
          <w:tcPr>
            <w:tcW w:w="6861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4176000" cy="2751391"/>
                  <wp:effectExtent l="0" t="0" r="0" b="0"/>
                  <wp:docPr id="1001" name="img001.png" descr="Find the service and read its page - desk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mg001.png" descr="Find the service and read its page - desktop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0" cy="275139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1656000" cy="3585792"/>
                  <wp:effectExtent l="0" t="0" r="0" b="0"/>
                  <wp:docPr id="1002" name="img002.png" descr="Find the service and read its page - 375 px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mg002.png" descr="Find the service and read its page - 375 px phone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585792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</w:pPr>
      <w:r>
        <w:t xml:space="preserve">Step 1: Find the service and read its page - desktop (left) and a 375 px phone (right).</w:t>
      </w:r>
    </w:p>
    <w:p>
      <w:pPr>
        <w:pStyle w:val="Heading3"/>
        <w:keepNext/>
      </w:pPr>
      <w:r>
        <w:t xml:space="preserve">Step 2. Inspect the case by Case Officer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completes "Inspect the case by Case Officer". The case moves from "CO Review" to "SV Review".</w:t>
      </w:r>
    </w:p>
    <w:p>
      <w:pPr>
        <w:pStyle w:val="Heading3"/>
        <w:keepNext/>
      </w:pPr>
      <w:r>
        <w:t xml:space="preserve">Step 3. Inspect the case by Supervisor</w:t>
      </w:r>
    </w:p>
    <w:p>
      <w:pPr>
        <w:keepNext/>
      </w:pPr>
      <w:r>
        <w:rPr>
          <w:i/>
          <w:iCs/>
        </w:rPr>
        <w:t xml:space="preserve">Supervisor · Back office (done through its case API in the test run: no screenshot)</w:t>
      </w:r>
    </w:p>
    <w:p>
      <w:r>
        <w:t xml:space="preserve">The Supervisor completes "Inspect the case by Supervisor". The case moves from "SV Review" to "EX Decision".</w:t>
      </w:r>
    </w:p>
    <w:p>
      <w:pPr>
        <w:pStyle w:val="Heading3"/>
        <w:keepNext/>
      </w:pPr>
      <w:r>
        <w:t xml:space="preserve">Step 4. Review, Inspect, e-Sign Executive</w:t>
      </w:r>
    </w:p>
    <w:p>
      <w:pPr>
        <w:keepNext/>
      </w:pPr>
      <w:r>
        <w:rPr>
          <w:i/>
          <w:iCs/>
        </w:rPr>
        <w:t xml:space="preserve">Executive · Back office (done through its case API in the test run: no screenshot)</w:t>
      </w:r>
    </w:p>
    <w:p>
      <w:r>
        <w:t xml:space="preserve">The Executive decides: approve ("Review, Inspect, e-Sign Executive"). The case moves from "EX Decision" to "Completed".</w:t>
      </w:r>
    </w:p>
    <w:p>
      <w:pPr>
        <w:pStyle w:val="Heading3"/>
        <w:keepNext/>
      </w:pPr>
      <w:r>
        <w:t xml:space="preserve">Step 5. The return on the society's record</w:t>
      </w:r>
    </w:p>
    <w:p>
      <w:pPr>
        <w:keepNext/>
      </w:pPr>
      <w:r>
        <w:rPr>
          <w:i/>
          <w:iCs/>
        </w:rPr>
        <w:t xml:space="preserve">Supervisor · Back office</w:t>
      </w:r>
    </w:p>
    <w:p>
      <w:pPr>
        <w:keepNext/>
      </w:pPr>
      <w:r>
        <w:t xml:space="preserve">The society's record after the approval: the return is filed for the three years, with the two late years shown; the next return is due on the next anniversary.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3" name="img003.png" descr="The return on the society's rec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img003.png" descr="The return on the society's record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5: The return on the society's record.</w:t>
      </w:r>
    </w:p>
    <w:p>
      <w:pPr>
        <w:pStyle w:val="Heading3"/>
        <w:keepNext/>
      </w:pPr>
      <w:r>
        <w:t xml:space="preserve">Step 6. Board history</w:t>
      </w:r>
    </w:p>
    <w:p>
      <w:pPr>
        <w:keepNext/>
      </w:pPr>
      <w:r>
        <w:rPr>
          <w:i/>
          <w:iCs/>
        </w:rPr>
        <w:t xml:space="preserve">Supervisor · Back office</w:t>
      </w:r>
    </w:p>
    <w:p>
      <w:pPr>
        <w:keepNext/>
      </w:pPr>
      <w:r>
        <w:t xml:space="preserve">The board named in the return replaces the board on the register: the old chairperson's term ends on the day of the approval and stays in the history.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4" name="img004.png" descr="Board his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img004.png" descr="Board history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6: Board history.</w:t>
      </w:r>
    </w:p>
    <w:p>
      <w:pPr>
        <w:pStyle w:val="Heading1"/>
        <w:keepNext/>
      </w:pPr>
      <w:r>
        <w:t xml:space="preserve">3. Payment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2835"/>
        <w:gridCol w:w="6804"/>
      </w:tblGrid>
      <w:tr>
        <w:trPr>
          <w:tblHeader/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Item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In the test run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Fee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ZMW 133.33 a year for a primary society (ZMW 200 for a union, ZMW 266.67 for a federation), from the service's fee schedule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Years filed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2024, 2025, 2026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Late penalty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one year's fee again for each year filed after its year: 2024, 2025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Amount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ZMW 666.65, worked out on the server when the return is sent and fixed then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Invoice number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4606926190439709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Paid through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ZamPay (the ZamPay test double in this run)</w:t>
            </w:r>
          </w:p>
        </w:tc>
      </w:tr>
    </w:tbl>
    <w:p>
      <w:pPr>
        <w:pStyle w:val="Heading1"/>
        <w:keepNext/>
      </w:pPr>
      <w:r>
        <w:t xml:space="preserve">4. Output documents</w:t>
      </w:r>
    </w:p>
    <w:p>
      <w:pPr>
        <w:spacing w:before="160"/>
      </w:pPr>
      <w:r>
        <w:t xml:space="preserve">On screen: step 5 (The return on the society's record), step 6 (Board history) in section 2.</w:t>
      </w:r>
    </w:p>
    <w:p>
      <w:pPr>
        <w:pStyle w:val="Heading1"/>
        <w:keepNext/>
      </w:pPr>
      <w:r>
        <w:t xml:space="preserve">5. Notifications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1928"/>
        <w:gridCol w:w="907"/>
        <w:gridCol w:w="1474"/>
        <w:gridCol w:w="4082"/>
        <w:gridCol w:w="1247"/>
      </w:tblGrid>
      <w:tr>
        <w:trPr>
          <w:tblHeader/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When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Channel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To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Message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Delivery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due for application DOC-AR/00002/10-22-26 - The fee of ZMW 666.65 for Annual Return (DOC-AR/00002/10-22-26) is now due. Invoice 4606926190439709.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DOC-AR/00002/10-22-26 received - Your application DOC-AR/00002/10-22-26 for Annual Return has been received by Department of Registration and Regulation.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received for DOC-AR/00002/10-22-26 - Your payment of ZMW 666.65 for DOC-AR/00002/10-22-26 (Annual Return) has been received. Receipt: &lt;ZamPay&gt;/pdf?documentType=receipt&amp;invoiceNumber=4606926190439709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Annual Return document has been issued - DOC-AR-2026-00002 has been issued for Annual Return and is valid until 22/10/2027.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How was Annual Return? - How was Annual Return? Tell us in about a minute.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DOC-AR/00002/10-22-26 completed - DOC-AR/00002/10-22-26 (Annual Return) is complete. Your documents are ready.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Fee of ZMW 666.65 due for DOC-AR/00002/10-22-26. Invoice 4606926190439709. Pay: &lt;ZamPay&gt;/pay-for-service/get-invoice/4606926190439709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due for application DOC-AR/00002/10-22-26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DOC-AR/00002/10-22-26 for Annual Return has been received. Track it: &lt;portal&gt;/my-workplace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DOC-AR/00002/10-22-26 received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How was Annual Return?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Annual Return document has been issued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DOC-AR/00002/10-22-26 completed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</w:tbl>
    <w:p>
      <w:pPr>
        <w:pStyle w:val="Note"/>
      </w:pPr>
      <w:r>
        <w:t xml:space="preserve">Delivery: shown = in the portal's notification bell; delivered = the SMS gateway (a test double in this run) reported the text delivered; skipped = not sent on that channel (e-mail is not configured on the test installation, and some notices go out on one channel only); sent by the national portal = a ministry node handed the notice to the national portal, which texts and e-mails the citizen under its own name and the citizen's preferences. Addresses written &lt;portal&gt;, &lt;ZamPay&gt; stand for the national portal and ZamPay.</w:t>
      </w:r>
    </w:p>
    <w:p>
      <w:pPr>
        <w:pStyle w:val="Heading1"/>
        <w:keepNext/>
      </w:pPr>
      <w:r>
        <w:t xml:space="preserve">6. Legacy mapping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Replaces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Annual Return in the legacy ZIGS e-Services directory (ZIGS_Services)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service id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317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provider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Department of Registration and Regulation (DOC) under Ministry of Small and Medium Enterprise Development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process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Standard.Review_3Step (process 103)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 in the legacy system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Annual return for a primary co-operative: ZMW 133.33 (New)</w:t>
            </w:r>
            <w:r>
              <w:br/>
              <w:t xml:space="preserve">Annual return for a co-operative union: ZMW 200 (New)</w:t>
            </w:r>
            <w:r>
              <w:br/>
              <w:t xml:space="preserve">Annual return for a federation: ZMW 266.67 (New)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 taken before submission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yes (as in ZIGS)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Time to issue (legacy)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New: 30 working days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output templates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Notice Of Action: ZIGS_Forms_Notices / GS-2.NoticeOfAction</w:t>
            </w:r>
            <w:r>
              <w:br/>
              <w:t xml:space="preserve">Application form: ZIGS_Forms_DOC / DOC_AnnualReturn.Application</w:t>
            </w:r>
            <w:r>
              <w:br/>
              <w:t xml:space="preserve">GF-1 Treasury Invoice: ZIGS_CustomForms / GF-1 Invoice</w:t>
            </w:r>
            <w:r>
              <w:br/>
              <w:t xml:space="preserve">GF-2 Treasury Receipt: ZIGS_CustomForms / GF-2 Receipt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address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https://cooperatives.gsb.gov.zm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How it was brought over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Imported by the platform's legacy catalogue importer (zcm-backend scripts/zigs/importLegacy.js) from the ZIGS snapshot: form, case types, fees, documents, process and output templates, then served by the new platform.</w:t>
            </w:r>
          </w:p>
        </w:tc>
      </w:tr>
    </w:tbl>
    <w:p>
      <w:pPr>
        <w:pStyle w:val="Heading1"/>
        <w:keepNext/>
      </w:pPr>
      <w:r>
        <w:t xml:space="preserve">7. Version and date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Document version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service v1, platform 12841b43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Generated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2026-10-22T00:53:44Z (by the end-to-end run, not edited by hand)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Service version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published version 1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Platform snapshot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backend 12841b43</w:t>
            </w:r>
            <w:r>
              <w:br/>
              <w:t xml:space="preserve">portal 8d4a375</w:t>
            </w:r>
            <w:r>
              <w:br/>
              <w:t xml:space="preserve">back office 8a4ad7a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Test suite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e2e f4407ea; one installation (combined); seed profile mihud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Journeys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39-cooperative-registration-annual-return.spec.js: citizen: files the annual return; the fee and the late penalty are worked out on the server - passed</w:t>
            </w:r>
            <w:r>
              <w:br/>
              <w:t xml:space="preserve">39-cooperative-registration-annual-return.spec.js: officers work the steps; the return is filed and the register brought up to date - passed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Result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 of 2 journey tests passed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Data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Synthetic test data on a local test installation; provider test doubles for ZamPass, ZamPay, SMS and signing.</w:t>
            </w:r>
          </w:p>
        </w:tc>
      </w:tr>
    </w:tbl>
    <w:sectPr>
      <w:headerReference w:type="default" r:id="rId4"/>
      <w:footerReference w:type="default" r:id="rId5"/>
      <w:pgSz w:w="11906" w:h="16838"/>
      <w:pgMar w:top="1134" w:right="1134" w:bottom="1134" w:left="1134" w:header="567" w:footer="567" w:gutter="0"/>
      <w:cols w:space="708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Department of Registration and Regulation  ·  version service v1, platform 12841b43  ·  2026-10-22</w:t>
    </w:r>
  </w:p>
  <w:p>
    <w:pPr>
      <w:pStyle w:val="Footer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6" w:space="4" w:color="198A00"/>
      </w:pBdr>
    </w:pPr>
    <w:r>
      <w:t xml:space="preserve">GSB e-Services  ·  Service documentation  ·  Annual Return</w: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283"/>
      </w:pPr>
      <w:rPr>
        <w:rFonts w:ascii="Arial" w:hAnsi="Arial"/>
        <w:color w:val="198A0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GB"/>
      </w:rPr>
    </w:rPrDefault>
    <w:pPrDefault>
      <w:pPr>
        <w:spacing w:after="120" w:line="264" w:lineRule="auto"/>
      </w:pPr>
    </w:pPrDefault>
  </w:docDefaults>
  <w:style w:type="paragraph" w:styleId="Normal" w:default="1">
    <w:name w:val="Normal"/>
    <w:qFormat/>
    <w:rPr>
      <w:color w:val="1F2933"/>
    </w:rPr>
  </w:style>
  <w:style w:type="paragraph" w:styleId="Title">
    <w:name w:val="Title"/>
    <w:basedOn w:val="Normal"/>
    <w:next w:val="Normal"/>
    <w:qFormat/>
    <w:pPr>
      <w:spacing w:before="240" w:after="120"/>
    </w:pPr>
    <w:rPr>
      <w:b/>
      <w:color w:val="1F2933"/>
      <w:sz w:val="56"/>
      <w:szCs w:val="56"/>
    </w:rPr>
  </w:style>
  <w:style w:type="paragraph" w:styleId="Subtitle">
    <w:name w:val="Subtitle"/>
    <w:basedOn w:val="Normal"/>
    <w:next w:val="Normal"/>
    <w:qFormat/>
    <w:pPr>
      <w:spacing w:after="480"/>
    </w:pPr>
    <w:rPr>
      <w:color w:val="198A00"/>
      <w:sz w:val="32"/>
      <w:szCs w:val="32"/>
    </w:rPr>
  </w:style>
  <w:style w:type="paragraph" w:styleId="CoverKicker">
    <w:name w:val="Cover kicker"/>
    <w:basedOn w:val="Normal"/>
    <w:qFormat/>
    <w:pPr>
      <w:spacing w:after="40"/>
    </w:pPr>
    <w:rPr>
      <w:b/>
      <w:caps/>
      <w:color w:val="198A00"/>
      <w:spacing w:val="20"/>
      <w:sz w:val="22"/>
      <w:szCs w:val="22"/>
    </w:rPr>
  </w:style>
  <w:style w:type="paragraph" w:styleId="CoverMeta">
    <w:name w:val="Cover details"/>
    <w:basedOn w:val="Normal"/>
    <w:qFormat/>
    <w:pPr>
      <w:spacing w:after="60"/>
    </w:pPr>
    <w:rPr>
      <w:color w:val="1F2933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sz="12" w:space="4" w:color="EF7D00"/>
      </w:pBdr>
      <w:spacing w:before="480" w:after="240"/>
      <w:outlineLvl w:val="0"/>
    </w:pPr>
    <w:rPr>
      <w:b/>
      <w:color w:val="198A0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b/>
      <w:color w:val="0F5200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/>
      <w:outlineLvl w:val="2"/>
    </w:pPr>
    <w:rPr>
      <w:b/>
      <w:color w:val="1F2933"/>
      <w:sz w:val="22"/>
      <w:szCs w:val="22"/>
    </w:rPr>
  </w:style>
  <w:style w:type="paragraph" w:styleId="Caption">
    <w:name w:val="caption"/>
    <w:basedOn w:val="Normal"/>
    <w:next w:val="Normal"/>
    <w:qFormat/>
    <w:pPr>
      <w:spacing w:before="40" w:after="200"/>
    </w:pPr>
    <w:rPr>
      <w:i/>
      <w:color w:val="5F6B76"/>
      <w:sz w:val="17"/>
      <w:szCs w:val="17"/>
    </w:rPr>
  </w:style>
  <w:style w:type="paragraph" w:styleId="Note">
    <w:name w:val="Note"/>
    <w:basedOn w:val="Normal"/>
    <w:qFormat/>
    <w:pPr>
      <w:pBdr>
        <w:left w:val="single" w:sz="18" w:space="8" w:color="EF7D00"/>
      </w:pBdr>
      <w:shd w:val="clear" w:color="auto" w:fill="EAF4E5"/>
      <w:spacing w:before="120" w:after="160"/>
      <w:ind w:left="170"/>
    </w:pPr>
    <w:rPr>
      <w:color w:val="1F2933"/>
      <w:sz w:val="18"/>
      <w:szCs w:val="18"/>
    </w:rPr>
  </w:style>
  <w:style w:type="paragraph" w:styleId="ListBullet">
    <w:name w:val="List Bullet"/>
    <w:basedOn w:val="Normal"/>
    <w:qFormat/>
    <w:pPr>
      <w:numPr>
        <w:numId w:val="1"/>
      </w:numPr>
      <w:spacing w:after="60"/>
    </w:pPr>
  </w:style>
  <w:style w:type="paragraph" w:styleId="TableText">
    <w:name w:val="Table text"/>
    <w:basedOn w:val="Normal"/>
    <w:qFormat/>
    <w:pPr>
      <w:spacing w:before="20" w:after="20" w:line="240" w:lineRule="auto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right" w:pos="9638"/>
      </w:tabs>
      <w:spacing w:after="0"/>
    </w:pPr>
    <w:rPr>
      <w:color w:val="5F6B76"/>
      <w:sz w:val="16"/>
      <w:szCs w:val="16"/>
    </w:rPr>
  </w:style>
  <w:style w:type="paragraph" w:styleId="Footer">
    <w:name w:val="footer"/>
    <w:basedOn w:val="Normal"/>
    <w:qFormat/>
    <w:pPr>
      <w:tabs>
        <w:tab w:val="right" w:pos="9638"/>
      </w:tabs>
      <w:spacing w:after="0"/>
    </w:pPr>
    <w:rPr>
      <w:color w:val="5F6B76"/>
      <w:sz w:val="16"/>
      <w:szCs w:val="16"/>
    </w:rPr>
  </w:style>
  <w:style w:type="table" w:styleId="GSBTable">
    <w:name w:val="GSB table"/>
    <w:basedOn w:val="TableNormal"/>
    <w:qFormat/>
    <w:pPr>
      <w:spacing w:after="0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rPr>
        <w:b/>
        <w:color w:val="FFFFFF"/>
      </w:rPr>
      <w:tcPr>
        <w:shd w:val="clear" w:color="auto" w:fill="198A00"/>
      </w:tcPr>
    </w:tblStyle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Img1" Type="http://schemas.openxmlformats.org/officeDocument/2006/relationships/image" Target="media/img001.png"/><Relationship Id="rIdImg2" Type="http://schemas.openxmlformats.org/officeDocument/2006/relationships/image" Target="media/img002.png"/><Relationship Id="rIdImg3" Type="http://schemas.openxmlformats.org/officeDocument/2006/relationships/image" Target="media/img003.png"/><Relationship Id="rIdImg4" Type="http://schemas.openxmlformats.org/officeDocument/2006/relationships/image" Target="media/img004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GSB e-Services service documentation</Application>
  <Company>Government of the Republic of Zambia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Return - service documentation</dc:title>
  <dc:subject>Department of Registration and Regulation</dc:subject>
  <dc:creator>GSB e-Services end-to-end suite</dc:creator>
  <cp:keywords>DOC/annual-return</cp:keywords>
  <cp:revision>1</cp:revision>
  <dcterms:created xsi:type="dcterms:W3CDTF">2026-10-22T00:53:44Z</dcterms:created>
  <dcterms:modified xsi:type="dcterms:W3CDTF">2026-10-22T00:53:44Z</dcterms:modified>
</cp:coreProperties>
</file>